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12F6E6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D06FCC">
        <w:t>4</w:t>
      </w:r>
      <w:r w:rsidR="0083546B">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4703CA">
        <w:rPr>
          <w:sz w:val="32"/>
          <w:szCs w:val="32"/>
        </w:rPr>
        <w:t>2</w:t>
      </w:r>
      <w:r w:rsidR="00D06FCC">
        <w:rPr>
          <w:sz w:val="32"/>
          <w:szCs w:val="32"/>
        </w:rPr>
        <w:t>1</w:t>
      </w:r>
      <w:r w:rsidR="009E3A5D">
        <w:rPr>
          <w:sz w:val="32"/>
          <w:szCs w:val="32"/>
        </w:rPr>
        <w:t>01316</w:t>
      </w:r>
    </w:p>
    <w:p w14:paraId="02377110" w14:textId="606B38B9" w:rsidR="00D06FCC" w:rsidRPr="00CE0424" w:rsidRDefault="00D06FCC" w:rsidP="00D06FCC">
      <w:pPr>
        <w:pStyle w:val="3GPPHeader"/>
      </w:pPr>
      <w:r>
        <w:t>Online, January</w:t>
      </w:r>
      <w:r w:rsidRPr="00584789">
        <w:t xml:space="preserve"> 2</w:t>
      </w:r>
      <w:r>
        <w:t>5</w:t>
      </w:r>
      <w:r w:rsidRPr="00D06FCC">
        <w:rPr>
          <w:vertAlign w:val="superscript"/>
        </w:rPr>
        <w:t>th</w:t>
      </w:r>
      <w:r w:rsidRPr="00584789">
        <w:t xml:space="preserve"> – </w:t>
      </w:r>
      <w:r>
        <w:t>Feb</w:t>
      </w:r>
      <w:r w:rsidRPr="00584789">
        <w:t>r</w:t>
      </w:r>
      <w:r>
        <w:t>uary</w:t>
      </w:r>
      <w:r w:rsidRPr="00584789">
        <w:t xml:space="preserve"> </w:t>
      </w:r>
      <w:r>
        <w:t>5</w:t>
      </w:r>
      <w:r w:rsidRPr="00D06FCC">
        <w:rPr>
          <w:vertAlign w:val="superscript"/>
        </w:rPr>
        <w:t>th</w:t>
      </w:r>
      <w:r w:rsidRPr="00ED2B29">
        <w:t>, 202</w:t>
      </w:r>
      <w:r>
        <w:t>1</w:t>
      </w:r>
    </w:p>
    <w:p w14:paraId="3086AC07" w14:textId="77777777" w:rsidR="00E90E49" w:rsidRPr="00CE0424" w:rsidRDefault="00E90E49" w:rsidP="00357380">
      <w:pPr>
        <w:pStyle w:val="3GPPHeader"/>
      </w:pPr>
    </w:p>
    <w:p w14:paraId="3982483C" w14:textId="26ACBC05" w:rsidR="00E90E49" w:rsidRPr="005F27B9" w:rsidRDefault="00E90E49" w:rsidP="00311702">
      <w:pPr>
        <w:pStyle w:val="3GPPHeader"/>
        <w:rPr>
          <w:sz w:val="22"/>
        </w:rPr>
      </w:pPr>
      <w:r w:rsidRPr="005F27B9">
        <w:rPr>
          <w:sz w:val="22"/>
        </w:rPr>
        <w:t>Agenda Item:</w:t>
      </w:r>
      <w:r w:rsidRPr="005F27B9">
        <w:rPr>
          <w:sz w:val="22"/>
        </w:rPr>
        <w:tab/>
      </w:r>
      <w:r w:rsidR="009C2001" w:rsidRPr="005F27B9">
        <w:rPr>
          <w:sz w:val="22"/>
        </w:rPr>
        <w:t>8.14.</w:t>
      </w:r>
      <w:r w:rsidR="00D06FCC">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77D6FC0"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Initial 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75648508" w:rsidR="00477768" w:rsidRDefault="005F27B9" w:rsidP="00CE0424">
      <w:pPr>
        <w:pStyle w:val="BodyText"/>
      </w:pPr>
      <w:r>
        <w:t xml:space="preserve">In </w:t>
      </w:r>
      <w:r>
        <w:fldChar w:fldCharType="begin"/>
      </w:r>
      <w:r>
        <w:instrText xml:space="preserve"> REF _Ref54269807 \r \h </w:instrText>
      </w:r>
      <w:r>
        <w:fldChar w:fldCharType="separate"/>
      </w:r>
      <w:r w:rsidR="00C449C1">
        <w:t>[1]</w:t>
      </w:r>
      <w:r>
        <w:fldChar w:fldCharType="end"/>
      </w:r>
      <w:r>
        <w:t xml:space="preserve">, a new SI on evaluations for XR was agreed. In this contribution, we provide some initial system simulations for one particular </w:t>
      </w:r>
      <w:r w:rsidR="00804048">
        <w:t>scenario and</w:t>
      </w:r>
      <w:r>
        <w:t xml:space="preserve"> highlight the impact </w:t>
      </w:r>
      <w:r w:rsidR="00C37E77">
        <w:t xml:space="preserve">of </w:t>
      </w:r>
      <w:r>
        <w:t>some factors that affect the capacity.</w:t>
      </w:r>
    </w:p>
    <w:p w14:paraId="66C93C27" w14:textId="7074C1A3" w:rsidR="00264643" w:rsidRPr="00CE0424" w:rsidRDefault="00C449C1" w:rsidP="00CE0424">
      <w:pPr>
        <w:pStyle w:val="BodyText"/>
      </w:pPr>
      <w:r>
        <w:t>In this contribution, we present initial DL results for the agreed evaluation assumptions. We also present initial UL results.</w:t>
      </w:r>
    </w:p>
    <w:p w14:paraId="60123794" w14:textId="3B288459" w:rsidR="004000E8" w:rsidRDefault="00230D18" w:rsidP="00CE0424">
      <w:pPr>
        <w:pStyle w:val="Heading1"/>
      </w:pPr>
      <w:bookmarkStart w:id="0" w:name="_Ref178064866"/>
      <w:r>
        <w:t>2</w:t>
      </w:r>
      <w:r>
        <w:tab/>
      </w:r>
      <w:r w:rsidR="004000E8" w:rsidRPr="00CE0424">
        <w:t>Discussion</w:t>
      </w:r>
      <w:bookmarkEnd w:id="0"/>
    </w:p>
    <w:p w14:paraId="1C6A18C9" w14:textId="5F0BD8EA" w:rsidR="00540155" w:rsidRPr="00540155" w:rsidRDefault="00540155" w:rsidP="00540155">
      <w:pPr>
        <w:rPr>
          <w:lang w:val="en-GB" w:eastAsia="ja-JP"/>
        </w:rPr>
      </w:pPr>
      <w:r>
        <w:rPr>
          <w:lang w:val="en-GB" w:eastAsia="ja-JP"/>
        </w:rPr>
        <w:t xml:space="preserve">XR services are </w:t>
      </w:r>
      <w:r w:rsidR="00E60B84">
        <w:rPr>
          <w:lang w:val="en-GB" w:eastAsia="ja-JP"/>
        </w:rPr>
        <w:t xml:space="preserve">one of the key services for 5G. </w:t>
      </w:r>
      <w:r w:rsidR="00AE5032">
        <w:rPr>
          <w:lang w:val="en-GB" w:eastAsia="ja-JP"/>
        </w:rPr>
        <w:t>XR require</w:t>
      </w:r>
      <w:r w:rsidR="00C37E77">
        <w:rPr>
          <w:lang w:val="en-GB" w:eastAsia="ja-JP"/>
        </w:rPr>
        <w:t>s</w:t>
      </w:r>
      <w:r w:rsidR="00AE5032">
        <w:rPr>
          <w:lang w:val="en-GB" w:eastAsia="ja-JP"/>
        </w:rPr>
        <w:t xml:space="preserve"> a bounded latency to ensure the QoE of the service. At the same time, the bit rate of XR services is in many cases high. This puts somewhat new requirements on the 5G radio interface, and</w:t>
      </w:r>
      <w:r w:rsidR="00E60B84">
        <w:rPr>
          <w:lang w:val="en-GB" w:eastAsia="ja-JP"/>
        </w:rPr>
        <w:t xml:space="preserve"> it is vital to understand the </w:t>
      </w:r>
      <w:r w:rsidR="00AE5032">
        <w:rPr>
          <w:lang w:val="en-GB" w:eastAsia="ja-JP"/>
        </w:rPr>
        <w:t>capacity impact of a wide-spread deployment of XR services in a cellular network.</w:t>
      </w:r>
    </w:p>
    <w:p w14:paraId="0A4EF65D" w14:textId="2839744D" w:rsidR="005F27B9" w:rsidRDefault="00AE5032" w:rsidP="005F27B9">
      <w:pPr>
        <w:rPr>
          <w:lang w:val="en-GB" w:eastAsia="ja-JP"/>
        </w:rPr>
      </w:pPr>
      <w:r>
        <w:rPr>
          <w:lang w:val="en-GB" w:eastAsia="ja-JP"/>
        </w:rPr>
        <w:t xml:space="preserve">To support the understanding of mobile XR performance, an SI has been started in RAN1 </w:t>
      </w:r>
      <w:r>
        <w:rPr>
          <w:lang w:val="en-GB" w:eastAsia="ja-JP"/>
        </w:rPr>
        <w:fldChar w:fldCharType="begin"/>
      </w:r>
      <w:r>
        <w:rPr>
          <w:lang w:val="en-GB" w:eastAsia="ja-JP"/>
        </w:rPr>
        <w:instrText xml:space="preserve"> REF _Ref54269807 \r \h </w:instrText>
      </w:r>
      <w:r>
        <w:rPr>
          <w:lang w:val="en-GB" w:eastAsia="ja-JP"/>
        </w:rPr>
      </w:r>
      <w:r>
        <w:rPr>
          <w:lang w:val="en-GB" w:eastAsia="ja-JP"/>
        </w:rPr>
        <w:fldChar w:fldCharType="separate"/>
      </w:r>
      <w:r w:rsidR="00C449C1">
        <w:rPr>
          <w:lang w:val="en-GB" w:eastAsia="ja-JP"/>
        </w:rPr>
        <w:t>[1]</w:t>
      </w:r>
      <w:r>
        <w:rPr>
          <w:lang w:val="en-GB" w:eastAsia="ja-JP"/>
        </w:rPr>
        <w:fldChar w:fldCharType="end"/>
      </w:r>
      <w:r>
        <w:rPr>
          <w:lang w:val="en-GB" w:eastAsia="ja-JP"/>
        </w:rPr>
        <w:t xml:space="preserve">. The target of the SI is to describe the performance of a baseline Rel-15/16 </w:t>
      </w:r>
      <w:r w:rsidR="00C37E77">
        <w:rPr>
          <w:lang w:val="en-GB" w:eastAsia="ja-JP"/>
        </w:rPr>
        <w:t xml:space="preserve">NR based </w:t>
      </w:r>
      <w:r>
        <w:rPr>
          <w:lang w:val="en-GB" w:eastAsia="ja-JP"/>
        </w:rPr>
        <w:t>cellular system.</w:t>
      </w:r>
    </w:p>
    <w:p w14:paraId="1AEA54B0" w14:textId="77777777" w:rsidR="00245507" w:rsidRDefault="00DB1F21" w:rsidP="005F27B9">
      <w:pPr>
        <w:rPr>
          <w:lang w:val="en-GB" w:eastAsia="ja-JP"/>
        </w:rPr>
      </w:pPr>
      <w:r>
        <w:rPr>
          <w:lang w:val="en-GB" w:eastAsia="ja-JP"/>
        </w:rPr>
        <w:t>The traffic model will be provided by SA4, but until this is available, we will employ a simple periodic model.</w:t>
      </w:r>
      <w:r w:rsidR="0070539B">
        <w:rPr>
          <w:lang w:val="en-GB" w:eastAsia="ja-JP"/>
        </w:rPr>
        <w:t xml:space="preserve"> We will also </w:t>
      </w:r>
      <w:r w:rsidR="00245507">
        <w:rPr>
          <w:lang w:val="en-GB" w:eastAsia="ja-JP"/>
        </w:rPr>
        <w:t>investigate the impact of a varying frame size: video codecs provide frames of varying sizes.</w:t>
      </w:r>
    </w:p>
    <w:p w14:paraId="7F4A17FC" w14:textId="1CE1BBB2" w:rsidR="00DB1F21" w:rsidRDefault="00DB1F21" w:rsidP="005F27B9">
      <w:pPr>
        <w:rPr>
          <w:lang w:val="en-GB" w:eastAsia="ja-JP"/>
        </w:rPr>
      </w:pPr>
      <w:r>
        <w:rPr>
          <w:lang w:val="en-GB" w:eastAsia="ja-JP"/>
        </w:rPr>
        <w:t xml:space="preserve"> In this contribution, we will use the traffic model parameters </w:t>
      </w:r>
      <w:r w:rsidR="00C37E77">
        <w:rPr>
          <w:lang w:val="en-GB" w:eastAsia="ja-JP"/>
        </w:rPr>
        <w:t>described</w:t>
      </w:r>
      <w:r>
        <w:rPr>
          <w:lang w:val="en-GB" w:eastAsia="ja-JP"/>
        </w:rPr>
        <w:t xml:space="preserve"> in</w:t>
      </w:r>
      <w:r w:rsidR="00C37E77">
        <w:rPr>
          <w:lang w:val="en-GB" w:eastAsia="ja-JP"/>
        </w:rPr>
        <w:t xml:space="preserve"> the table below.</w:t>
      </w:r>
      <w:r>
        <w:rPr>
          <w:lang w:val="en-GB" w:eastAsia="ja-JP"/>
        </w:rPr>
        <w:t xml:space="preserve"> </w:t>
      </w:r>
    </w:p>
    <w:tbl>
      <w:tblPr>
        <w:tblStyle w:val="GridTable4-Accent1"/>
        <w:tblW w:w="0" w:type="auto"/>
        <w:tblLook w:val="04A0" w:firstRow="1" w:lastRow="0" w:firstColumn="1" w:lastColumn="0" w:noHBand="0" w:noVBand="1"/>
      </w:tblPr>
      <w:tblGrid>
        <w:gridCol w:w="4796"/>
        <w:gridCol w:w="4795"/>
        <w:gridCol w:w="38"/>
      </w:tblGrid>
      <w:tr w:rsidR="00DB1F21" w14:paraId="54B7C5FA" w14:textId="77777777" w:rsidTr="00DB1F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right w:val="none" w:sz="0" w:space="0" w:color="auto"/>
            </w:tcBorders>
          </w:tcPr>
          <w:p w14:paraId="6C66A24D" w14:textId="401E93EB" w:rsidR="00DB1F21" w:rsidRDefault="00DB1F21" w:rsidP="005F27B9">
            <w:pPr>
              <w:rPr>
                <w:lang w:val="en-GB" w:eastAsia="ja-JP"/>
              </w:rPr>
            </w:pPr>
            <w:r>
              <w:rPr>
                <w:lang w:val="en-GB" w:eastAsia="ja-JP"/>
              </w:rPr>
              <w:t>Parameter</w:t>
            </w:r>
          </w:p>
        </w:tc>
        <w:tc>
          <w:tcPr>
            <w:tcW w:w="4815" w:type="dxa"/>
            <w:gridSpan w:val="2"/>
            <w:tcBorders>
              <w:top w:val="none" w:sz="0" w:space="0" w:color="auto"/>
              <w:left w:val="none" w:sz="0" w:space="0" w:color="auto"/>
              <w:bottom w:val="none" w:sz="0" w:space="0" w:color="auto"/>
              <w:right w:val="none" w:sz="0" w:space="0" w:color="auto"/>
            </w:tcBorders>
          </w:tcPr>
          <w:p w14:paraId="386D508B" w14:textId="17F9BCBC" w:rsidR="00DB1F21" w:rsidRDefault="00DB1F21" w:rsidP="005F27B9">
            <w:pP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Value</w:t>
            </w:r>
          </w:p>
        </w:tc>
      </w:tr>
      <w:tr w:rsidR="00DB1F21" w14:paraId="43C117F6" w14:textId="77777777" w:rsidTr="00DB1F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932EDB9" w14:textId="136ED3C5" w:rsidR="00DB1F21" w:rsidRDefault="00DB1F21" w:rsidP="005F27B9">
            <w:pPr>
              <w:rPr>
                <w:lang w:val="en-GB" w:eastAsia="ja-JP"/>
              </w:rPr>
            </w:pPr>
            <w:r>
              <w:rPr>
                <w:lang w:val="en-GB" w:eastAsia="ja-JP"/>
              </w:rPr>
              <w:t>Frame rate</w:t>
            </w:r>
          </w:p>
        </w:tc>
        <w:tc>
          <w:tcPr>
            <w:tcW w:w="4815" w:type="dxa"/>
            <w:gridSpan w:val="2"/>
          </w:tcPr>
          <w:p w14:paraId="21D6AD3F" w14:textId="1A9E450A" w:rsidR="00DB1F21" w:rsidRDefault="00DB1F21" w:rsidP="005F27B9">
            <w:pPr>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60 Hz</w:t>
            </w:r>
          </w:p>
        </w:tc>
      </w:tr>
      <w:tr w:rsidR="00DB1F21" w14:paraId="315D0E66" w14:textId="77777777" w:rsidTr="00DB1F21">
        <w:trPr>
          <w:gridAfter w:val="1"/>
          <w:wAfter w:w="38" w:type="dxa"/>
        </w:trPr>
        <w:tc>
          <w:tcPr>
            <w:cnfStyle w:val="001000000000" w:firstRow="0" w:lastRow="0" w:firstColumn="1" w:lastColumn="0" w:oddVBand="0" w:evenVBand="0" w:oddHBand="0" w:evenHBand="0" w:firstRowFirstColumn="0" w:firstRowLastColumn="0" w:lastRowFirstColumn="0" w:lastRowLastColumn="0"/>
            <w:tcW w:w="4814" w:type="dxa"/>
          </w:tcPr>
          <w:p w14:paraId="61C11C8B" w14:textId="4F1E39FB" w:rsidR="00DB1F21" w:rsidRDefault="00DB1F21" w:rsidP="005F27B9">
            <w:pPr>
              <w:rPr>
                <w:lang w:val="en-GB" w:eastAsia="ja-JP"/>
              </w:rPr>
            </w:pPr>
            <w:r>
              <w:rPr>
                <w:lang w:val="en-GB" w:eastAsia="ja-JP"/>
              </w:rPr>
              <w:t>Frame size</w:t>
            </w:r>
          </w:p>
        </w:tc>
        <w:tc>
          <w:tcPr>
            <w:tcW w:w="4815" w:type="dxa"/>
          </w:tcPr>
          <w:p w14:paraId="4870FB14" w14:textId="5AE79C37" w:rsidR="00DB1F21" w:rsidRDefault="00245507" w:rsidP="005F27B9">
            <w:pP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N(</w:t>
            </w:r>
            <w:r>
              <w:rPr>
                <w:rFonts w:cs="Arial"/>
                <w:lang w:val="en-GB" w:eastAsia="ja-JP"/>
              </w:rPr>
              <w:t>µ</w:t>
            </w:r>
            <w:r>
              <w:rPr>
                <w:lang w:val="en-GB" w:eastAsia="ja-JP"/>
              </w:rPr>
              <w:t>,</w:t>
            </w:r>
            <w:r>
              <w:rPr>
                <w:rFonts w:cs="Arial"/>
                <w:lang w:val="en-GB" w:eastAsia="ja-JP"/>
              </w:rPr>
              <w:t>σ</w:t>
            </w:r>
            <w:r>
              <w:rPr>
                <w:lang w:val="en-GB" w:eastAsia="ja-JP"/>
              </w:rPr>
              <w:t>)</w:t>
            </w:r>
            <w:r>
              <w:rPr>
                <w:lang w:val="en-GB" w:eastAsia="ja-JP"/>
              </w:rPr>
              <w:br/>
              <w:t xml:space="preserve">with </w:t>
            </w:r>
            <w:r>
              <w:rPr>
                <w:rFonts w:cs="Arial"/>
                <w:lang w:val="en-GB" w:eastAsia="ja-JP"/>
              </w:rPr>
              <w:t>µ=25kB, and σ=0 or 5kB</w:t>
            </w:r>
          </w:p>
        </w:tc>
      </w:tr>
    </w:tbl>
    <w:p w14:paraId="26FAEA91" w14:textId="5DC2FBAD" w:rsidR="00DB1F21" w:rsidRDefault="00DB1F21" w:rsidP="00DB1F21">
      <w:pPr>
        <w:pStyle w:val="Caption"/>
      </w:pPr>
      <w:r>
        <w:t xml:space="preserve">Table </w:t>
      </w:r>
      <w:r>
        <w:fldChar w:fldCharType="begin"/>
      </w:r>
      <w:r>
        <w:instrText xml:space="preserve"> SEQ Table \* ARABIC </w:instrText>
      </w:r>
      <w:r>
        <w:fldChar w:fldCharType="separate"/>
      </w:r>
      <w:r w:rsidR="00C449C1">
        <w:rPr>
          <w:noProof/>
        </w:rPr>
        <w:t>1</w:t>
      </w:r>
      <w:r>
        <w:fldChar w:fldCharType="end"/>
      </w:r>
      <w:r>
        <w:t>: Traffic model parameters. This corresponds to a</w:t>
      </w:r>
      <w:r w:rsidR="00245507">
        <w:t>n average</w:t>
      </w:r>
      <w:r>
        <w:t xml:space="preserve"> bit rate of 12</w:t>
      </w:r>
      <w:r w:rsidR="00C37E77">
        <w:t xml:space="preserve"> </w:t>
      </w:r>
      <w:r>
        <w:t>Mbps, which would roughly correspond to HD quality with H.265.</w:t>
      </w:r>
    </w:p>
    <w:p w14:paraId="46BB2411" w14:textId="6E89D514" w:rsidR="00E275A4" w:rsidRDefault="00E275A4" w:rsidP="00E275A4">
      <w:pPr>
        <w:rPr>
          <w:lang w:eastAsia="en-GB"/>
        </w:rPr>
      </w:pPr>
      <w:r>
        <w:rPr>
          <w:lang w:eastAsia="en-GB"/>
        </w:rPr>
        <w:t>XR services require bounded latency. Cellular systems have since long taken advantage of two factors that increase the latency</w:t>
      </w:r>
      <w:r w:rsidR="00C37E77">
        <w:rPr>
          <w:lang w:eastAsia="en-GB"/>
        </w:rPr>
        <w:t>:</w:t>
      </w:r>
    </w:p>
    <w:p w14:paraId="3C7B5B9A" w14:textId="676AA228" w:rsidR="00E275A4" w:rsidRPr="00641C64" w:rsidRDefault="00E275A4" w:rsidP="00E275A4">
      <w:pPr>
        <w:pStyle w:val="ListParagraph"/>
        <w:numPr>
          <w:ilvl w:val="0"/>
          <w:numId w:val="23"/>
        </w:numPr>
        <w:rPr>
          <w:rFonts w:ascii="Arial" w:hAnsi="Arial" w:cs="Arial"/>
          <w:sz w:val="20"/>
          <w:szCs w:val="20"/>
          <w:lang w:eastAsia="en-GB"/>
        </w:rPr>
      </w:pPr>
      <w:r w:rsidRPr="00641C64">
        <w:rPr>
          <w:rFonts w:ascii="Arial" w:hAnsi="Arial" w:cs="Arial"/>
          <w:sz w:val="20"/>
          <w:szCs w:val="20"/>
          <w:lang w:val="en-US" w:eastAsia="en-GB"/>
        </w:rPr>
        <w:t xml:space="preserve">Retransmissions: the modulations and coding scheme for each transmission is selected so that the error rate for the initial transmission is ~10%. Retransmissions are then used if an error occurs. Sometimes 2 or more retransmissions are needed </w:t>
      </w:r>
      <w:r w:rsidR="00641C64" w:rsidRPr="00641C64">
        <w:rPr>
          <w:rFonts w:ascii="Arial" w:hAnsi="Arial" w:cs="Arial"/>
          <w:sz w:val="20"/>
          <w:szCs w:val="20"/>
          <w:lang w:val="en-US" w:eastAsia="en-GB"/>
        </w:rPr>
        <w:t>before the packet is correctly decoded. Each retransmission adds a few slots to the transmission time of the packet.</w:t>
      </w:r>
    </w:p>
    <w:p w14:paraId="00DBC5C8" w14:textId="62A58E12" w:rsidR="00641C64" w:rsidRPr="00641C64" w:rsidRDefault="00641C64" w:rsidP="00E275A4">
      <w:pPr>
        <w:pStyle w:val="ListParagraph"/>
        <w:numPr>
          <w:ilvl w:val="0"/>
          <w:numId w:val="23"/>
        </w:numPr>
        <w:rPr>
          <w:rFonts w:ascii="Arial" w:hAnsi="Arial" w:cs="Arial"/>
          <w:sz w:val="20"/>
          <w:szCs w:val="20"/>
          <w:lang w:eastAsia="en-GB"/>
        </w:rPr>
      </w:pPr>
      <w:r w:rsidRPr="00641C64">
        <w:rPr>
          <w:rFonts w:ascii="Arial" w:hAnsi="Arial" w:cs="Arial"/>
          <w:sz w:val="20"/>
          <w:szCs w:val="20"/>
          <w:lang w:val="en-US" w:eastAsia="en-GB"/>
        </w:rPr>
        <w:t>Scheduling: the scheduler may utilize the time-diversity in the channel. At a certain point, a user with a good channel may be prioritized over a user with worse quality, but this requires that the packet of the worse user can be delayed.</w:t>
      </w:r>
    </w:p>
    <w:p w14:paraId="044825FB" w14:textId="6C18D858" w:rsidR="00641C64" w:rsidRDefault="00641C64" w:rsidP="00641C64">
      <w:pPr>
        <w:rPr>
          <w:lang w:eastAsia="en-GB"/>
        </w:rPr>
      </w:pPr>
      <w:r>
        <w:rPr>
          <w:lang w:eastAsia="en-GB"/>
        </w:rPr>
        <w:lastRenderedPageBreak/>
        <w:t xml:space="preserve">For services with bounded latency requirements, the effectiveness of these two features may be reduced. We thus realize that there is a tradeoff between very strict latency bounds and capacity. To illustrate this, we will thus investigate performance </w:t>
      </w:r>
      <w:r w:rsidR="00087268">
        <w:rPr>
          <w:lang w:eastAsia="en-GB"/>
        </w:rPr>
        <w:t>with different latency bounds.</w:t>
      </w:r>
    </w:p>
    <w:p w14:paraId="10308E66" w14:textId="101B51B5" w:rsidR="00087268" w:rsidRDefault="00087268" w:rsidP="00641C64">
      <w:pPr>
        <w:rPr>
          <w:lang w:eastAsia="en-GB"/>
        </w:rPr>
      </w:pPr>
      <w:r>
        <w:rPr>
          <w:lang w:eastAsia="en-GB"/>
        </w:rPr>
        <w:t>As described in</w:t>
      </w:r>
      <w:r w:rsidR="00C449C1">
        <w:rPr>
          <w:lang w:eastAsia="en-GB"/>
        </w:rPr>
        <w:t xml:space="preserve"> </w:t>
      </w:r>
      <w:r w:rsidR="00C449C1">
        <w:rPr>
          <w:lang w:eastAsia="en-GB"/>
        </w:rPr>
        <w:fldChar w:fldCharType="begin"/>
      </w:r>
      <w:r w:rsidR="00C449C1">
        <w:rPr>
          <w:lang w:eastAsia="en-GB"/>
        </w:rPr>
        <w:instrText xml:space="preserve"> REF _Ref61871885 \r \h </w:instrText>
      </w:r>
      <w:r w:rsidR="00C449C1">
        <w:rPr>
          <w:lang w:eastAsia="en-GB"/>
        </w:rPr>
      </w:r>
      <w:r w:rsidR="00C449C1">
        <w:rPr>
          <w:lang w:eastAsia="en-GB"/>
        </w:rPr>
        <w:fldChar w:fldCharType="separate"/>
      </w:r>
      <w:r w:rsidR="00C449C1">
        <w:rPr>
          <w:lang w:eastAsia="en-GB"/>
        </w:rPr>
        <w:t>[3]</w:t>
      </w:r>
      <w:r w:rsidR="00C449C1">
        <w:rPr>
          <w:lang w:eastAsia="en-GB"/>
        </w:rPr>
        <w:fldChar w:fldCharType="end"/>
      </w:r>
      <w:r w:rsidR="00513D31">
        <w:rPr>
          <w:lang w:eastAsia="en-GB"/>
        </w:rPr>
        <w:t>, we use the following capacity definition:</w:t>
      </w:r>
    </w:p>
    <w:p w14:paraId="095D8ABC" w14:textId="0D287593" w:rsidR="00513D31" w:rsidRDefault="00513D31" w:rsidP="00641C64">
      <w:pPr>
        <w:pStyle w:val="BodyText"/>
        <w:numPr>
          <w:ilvl w:val="0"/>
          <w:numId w:val="24"/>
        </w:numPr>
        <w:spacing w:after="160"/>
        <w:rPr>
          <w:rFonts w:cstheme="minorHAnsi"/>
        </w:rPr>
      </w:pPr>
      <w:r>
        <w:rPr>
          <w:rFonts w:cstheme="minorHAnsi"/>
        </w:rPr>
        <w:t xml:space="preserve">The capacity </w:t>
      </w:r>
      <w:r w:rsidRPr="00FF26B1">
        <w:rPr>
          <w:rFonts w:cstheme="minorHAnsi"/>
        </w:rPr>
        <w:t>C(L, R</w:t>
      </w:r>
      <w:r>
        <w:rPr>
          <w:rFonts w:cstheme="minorHAnsi"/>
        </w:rPr>
        <w:t>, Y</w:t>
      </w:r>
      <w:r w:rsidRPr="00FF26B1">
        <w:rPr>
          <w:rFonts w:cstheme="minorHAnsi"/>
        </w:rPr>
        <w:t xml:space="preserve">) is </w:t>
      </w:r>
      <w:r w:rsidRPr="00312252">
        <w:rPr>
          <w:rFonts w:cstheme="minorHAnsi"/>
        </w:rPr>
        <w:t xml:space="preserve">the maximum </w:t>
      </w:r>
      <w:r>
        <w:rPr>
          <w:rFonts w:cstheme="minorHAnsi"/>
        </w:rPr>
        <w:t>number</w:t>
      </w:r>
      <w:r w:rsidRPr="00312252">
        <w:rPr>
          <w:rFonts w:cstheme="minorHAnsi"/>
        </w:rPr>
        <w:t xml:space="preserve"> of </w:t>
      </w:r>
      <w:r>
        <w:rPr>
          <w:rFonts w:cstheme="minorHAnsi"/>
        </w:rPr>
        <w:t>users</w:t>
      </w:r>
      <w:r w:rsidRPr="00312252">
        <w:rPr>
          <w:rFonts w:cstheme="minorHAnsi"/>
        </w:rPr>
        <w:t xml:space="preserve"> </w:t>
      </w:r>
      <w:r>
        <w:rPr>
          <w:rFonts w:cstheme="minorHAnsi"/>
        </w:rPr>
        <w:t xml:space="preserve">per cell </w:t>
      </w:r>
      <w:r w:rsidRPr="00312252">
        <w:rPr>
          <w:rFonts w:cstheme="minorHAnsi"/>
        </w:rPr>
        <w:t>under which Y% of UEs in a cell operate with target link reliability R under L latency bound</w:t>
      </w:r>
      <w:r>
        <w:rPr>
          <w:rFonts w:cstheme="minorHAnsi"/>
        </w:rPr>
        <w:t>.</w:t>
      </w:r>
    </w:p>
    <w:p w14:paraId="520009F1" w14:textId="4E1F9DF2" w:rsidR="00513D31" w:rsidRPr="00C20C4C" w:rsidRDefault="00513D31" w:rsidP="00C20C4C">
      <w:pPr>
        <w:pStyle w:val="BodyText"/>
        <w:spacing w:after="160"/>
        <w:rPr>
          <w:rFonts w:cstheme="minorHAnsi"/>
        </w:rPr>
      </w:pPr>
      <w:r>
        <w:rPr>
          <w:rFonts w:cstheme="minorHAnsi"/>
        </w:rPr>
        <w:t>In this contribution, we will use R=99%</w:t>
      </w:r>
      <w:r w:rsidR="00C20C4C">
        <w:rPr>
          <w:rFonts w:cstheme="minorHAnsi"/>
        </w:rPr>
        <w:t>, and illustrate Y as a function of load and L.</w:t>
      </w:r>
    </w:p>
    <w:p w14:paraId="416DA98E" w14:textId="7218EAC6" w:rsidR="00D5283B" w:rsidRDefault="00D5283B" w:rsidP="00D5283B">
      <w:pPr>
        <w:pStyle w:val="Heading2"/>
      </w:pPr>
      <w:r>
        <w:t>2.1</w:t>
      </w:r>
      <w:r>
        <w:tab/>
      </w:r>
      <w:r w:rsidR="00D06FCC">
        <w:t>DL performance</w:t>
      </w:r>
    </w:p>
    <w:p w14:paraId="55483460" w14:textId="260E76EB" w:rsidR="008B2285" w:rsidRDefault="00DB1F21" w:rsidP="005F27B9">
      <w:pPr>
        <w:rPr>
          <w:lang w:val="en-GB" w:eastAsia="ja-JP"/>
        </w:rPr>
      </w:pPr>
      <w:r>
        <w:rPr>
          <w:lang w:val="en-GB" w:eastAsia="ja-JP"/>
        </w:rPr>
        <w:t xml:space="preserve">XR performance will be evaluated for a baseline system operating at </w:t>
      </w:r>
      <w:r w:rsidR="001844C2">
        <w:rPr>
          <w:lang w:val="en-GB" w:eastAsia="ja-JP"/>
        </w:rPr>
        <w:t>4</w:t>
      </w:r>
      <w:r w:rsidR="00C37E77">
        <w:rPr>
          <w:lang w:val="en-GB" w:eastAsia="ja-JP"/>
        </w:rPr>
        <w:t xml:space="preserve"> </w:t>
      </w:r>
      <w:r w:rsidR="001844C2">
        <w:rPr>
          <w:lang w:val="en-GB" w:eastAsia="ja-JP"/>
        </w:rPr>
        <w:t>GHz, using an SCS of 30</w:t>
      </w:r>
      <w:r w:rsidR="00C37E77">
        <w:rPr>
          <w:lang w:val="en-GB" w:eastAsia="ja-JP"/>
        </w:rPr>
        <w:t xml:space="preserve"> </w:t>
      </w:r>
      <w:r w:rsidR="001844C2">
        <w:rPr>
          <w:lang w:val="en-GB" w:eastAsia="ja-JP"/>
        </w:rPr>
        <w:t>kHz</w:t>
      </w:r>
      <w:r>
        <w:rPr>
          <w:lang w:val="en-GB" w:eastAsia="ja-JP"/>
        </w:rPr>
        <w:t>. The system deployed is 100</w:t>
      </w:r>
      <w:r w:rsidR="00C37E77">
        <w:rPr>
          <w:lang w:val="en-GB" w:eastAsia="ja-JP"/>
        </w:rPr>
        <w:t xml:space="preserve"> </w:t>
      </w:r>
      <w:r>
        <w:rPr>
          <w:lang w:val="en-GB" w:eastAsia="ja-JP"/>
        </w:rPr>
        <w:t>MHz TDD, with a 3:1 TDD pattern. A dense urban scenario with only the macro layer is considered. A massive MIMO gNB with 32 antenna elements is assumed. The UEs have 4</w:t>
      </w:r>
      <w:r w:rsidR="00C37E77">
        <w:rPr>
          <w:lang w:val="en-GB" w:eastAsia="ja-JP"/>
        </w:rPr>
        <w:t xml:space="preserve"> </w:t>
      </w:r>
      <w:r>
        <w:rPr>
          <w:lang w:val="en-GB" w:eastAsia="ja-JP"/>
        </w:rPr>
        <w:t>Rx antennas and PDSCH processing capability 2.</w:t>
      </w:r>
      <w:r w:rsidR="00CD33A0">
        <w:rPr>
          <w:lang w:val="en-GB" w:eastAsia="ja-JP"/>
        </w:rPr>
        <w:t xml:space="preserve"> </w:t>
      </w:r>
      <w:r w:rsidR="008B2285">
        <w:rPr>
          <w:lang w:val="en-GB" w:eastAsia="ja-JP"/>
        </w:rPr>
        <w:t xml:space="preserve">In this first simulation, we will use a constant frame size. </w:t>
      </w:r>
    </w:p>
    <w:p w14:paraId="76554CBB" w14:textId="57CCCB58" w:rsidR="00D5283B" w:rsidRDefault="002A7DCF" w:rsidP="005F27B9">
      <w:pPr>
        <w:rPr>
          <w:lang w:val="en-GB" w:eastAsia="ja-JP"/>
        </w:rPr>
      </w:pPr>
      <w:r>
        <w:rPr>
          <w:lang w:val="en-GB" w:eastAsia="ja-JP"/>
        </w:rPr>
        <w:t xml:space="preserve">The results are depicted in </w:t>
      </w:r>
      <w:r>
        <w:rPr>
          <w:lang w:val="en-GB" w:eastAsia="ja-JP"/>
        </w:rPr>
        <w:fldChar w:fldCharType="begin"/>
      </w:r>
      <w:r>
        <w:rPr>
          <w:lang w:val="en-GB" w:eastAsia="ja-JP"/>
        </w:rPr>
        <w:instrText xml:space="preserve"> REF _Ref54354924 \h </w:instrText>
      </w:r>
      <w:r>
        <w:rPr>
          <w:lang w:val="en-GB" w:eastAsia="ja-JP"/>
        </w:rPr>
      </w:r>
      <w:r>
        <w:rPr>
          <w:lang w:val="en-GB" w:eastAsia="ja-JP"/>
        </w:rPr>
        <w:fldChar w:fldCharType="separate"/>
      </w:r>
      <w:r w:rsidR="00C449C1" w:rsidRPr="00CE0424">
        <w:t xml:space="preserve">Figure </w:t>
      </w:r>
      <w:r w:rsidR="00C449C1">
        <w:rPr>
          <w:noProof/>
        </w:rPr>
        <w:t>1</w:t>
      </w:r>
      <w:r>
        <w:rPr>
          <w:lang w:val="en-GB" w:eastAsia="ja-JP"/>
        </w:rPr>
        <w:fldChar w:fldCharType="end"/>
      </w:r>
      <w:r>
        <w:rPr>
          <w:lang w:val="en-GB" w:eastAsia="ja-JP"/>
        </w:rPr>
        <w:t>.</w:t>
      </w:r>
    </w:p>
    <w:p w14:paraId="450ADB4B" w14:textId="54064F17" w:rsidR="005F27B9" w:rsidRDefault="007B243D" w:rsidP="005F27B9">
      <w:pPr>
        <w:pStyle w:val="TF"/>
      </w:pPr>
      <w:r w:rsidRPr="007B243D">
        <w:rPr>
          <w:noProof/>
        </w:rPr>
        <w:drawing>
          <wp:inline distT="0" distB="0" distL="0" distR="0" wp14:anchorId="1B27AF1B" wp14:editId="5AC50965">
            <wp:extent cx="5324475" cy="399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00A8934" w14:textId="2B91944B" w:rsidR="005F27B9" w:rsidRDefault="005F27B9" w:rsidP="005F27B9">
      <w:pPr>
        <w:pStyle w:val="TF"/>
        <w:rPr>
          <w:lang w:val="en-US"/>
        </w:rPr>
      </w:pPr>
      <w:bookmarkStart w:id="1" w:name="_Ref54354924"/>
      <w:r w:rsidRPr="00CE0424">
        <w:t xml:space="preserve">Figure </w:t>
      </w:r>
      <w:r w:rsidRPr="00CE0424">
        <w:fldChar w:fldCharType="begin"/>
      </w:r>
      <w:r w:rsidRPr="00CE0424">
        <w:instrText xml:space="preserve"> SEQ Figure \* ARABIC </w:instrText>
      </w:r>
      <w:r w:rsidRPr="00CE0424">
        <w:fldChar w:fldCharType="separate"/>
      </w:r>
      <w:r w:rsidR="00C449C1">
        <w:rPr>
          <w:noProof/>
        </w:rPr>
        <w:t>1</w:t>
      </w:r>
      <w:r w:rsidRPr="00CE0424">
        <w:fldChar w:fldCharType="end"/>
      </w:r>
      <w:bookmarkEnd w:id="1"/>
      <w:r w:rsidRPr="00CE0424">
        <w:t xml:space="preserve">: </w:t>
      </w:r>
      <w:r w:rsidR="002C0F29" w:rsidRPr="002C0F29">
        <w:rPr>
          <w:lang w:val="en-US"/>
        </w:rPr>
        <w:t xml:space="preserve">DL </w:t>
      </w:r>
      <w:r w:rsidR="002C0F29">
        <w:rPr>
          <w:lang w:val="en-US"/>
        </w:rPr>
        <w:t>capacity with c</w:t>
      </w:r>
      <w:r w:rsidR="00245507">
        <w:rPr>
          <w:lang w:val="en-US"/>
        </w:rPr>
        <w:t>onstant frame size.</w:t>
      </w:r>
    </w:p>
    <w:p w14:paraId="02796D17" w14:textId="2EE51147" w:rsidR="00B15B19" w:rsidRDefault="00B15B19" w:rsidP="00B15B19">
      <w:pPr>
        <w:pStyle w:val="BodyText"/>
      </w:pPr>
      <w:r>
        <w:t xml:space="preserve">From </w:t>
      </w:r>
      <w:r>
        <w:fldChar w:fldCharType="begin"/>
      </w:r>
      <w:r>
        <w:instrText xml:space="preserve"> REF _Ref54354924 \h </w:instrText>
      </w:r>
      <w:r>
        <w:fldChar w:fldCharType="separate"/>
      </w:r>
      <w:r w:rsidR="00C449C1" w:rsidRPr="00CE0424">
        <w:t xml:space="preserve">Figure </w:t>
      </w:r>
      <w:r w:rsidR="00C449C1">
        <w:rPr>
          <w:noProof/>
        </w:rPr>
        <w:t>1</w:t>
      </w:r>
      <w:r>
        <w:fldChar w:fldCharType="end"/>
      </w:r>
      <w:r>
        <w:t xml:space="preserve">, it is clear that </w:t>
      </w:r>
      <w:r w:rsidR="00BA0A3E">
        <w:t>the investigated XR service provides a challenging scenario. Only a small number of UEs in each cell. It is also clear that it is quite beneficial to allow a larger delay budget for the application packets: the capacity with 15ms packet delay budget is 30% larger than with 10ms packet delay budget.</w:t>
      </w:r>
    </w:p>
    <w:p w14:paraId="34AB7D94" w14:textId="263617C6" w:rsidR="006D3500" w:rsidRDefault="006D3500" w:rsidP="006D3500">
      <w:pPr>
        <w:pStyle w:val="BodyText"/>
      </w:pPr>
      <w:r>
        <w:t>As was mentioned earlier, application packets vary in size. To investigate the impact of such packet size variation, we assume that the packet size</w:t>
      </w:r>
      <w:r w:rsidR="00B462CD">
        <w:t>s are I.I.D, with</w:t>
      </w:r>
      <w:r>
        <w:t xml:space="preserve"> a Gaussian distribution, with mean 25kB and standard deviation of 5kB. Apart from this, the simulation conditions are the same. The results are depicted in </w:t>
      </w:r>
      <w:r w:rsidR="00BA6873">
        <w:fldChar w:fldCharType="begin"/>
      </w:r>
      <w:r w:rsidR="00BA6873">
        <w:instrText xml:space="preserve"> REF _Ref61530359 \h </w:instrText>
      </w:r>
      <w:r w:rsidR="00BA6873">
        <w:fldChar w:fldCharType="separate"/>
      </w:r>
      <w:r w:rsidR="00C449C1">
        <w:t xml:space="preserve">Figure </w:t>
      </w:r>
      <w:r w:rsidR="00C449C1">
        <w:rPr>
          <w:noProof/>
        </w:rPr>
        <w:t>2</w:t>
      </w:r>
      <w:r w:rsidR="00BA6873">
        <w:fldChar w:fldCharType="end"/>
      </w:r>
      <w:r w:rsidR="00BA6873">
        <w:t>.</w:t>
      </w:r>
    </w:p>
    <w:p w14:paraId="11F02080" w14:textId="77777777" w:rsidR="006D3500" w:rsidRDefault="006D3500" w:rsidP="00B15B19">
      <w:pPr>
        <w:pStyle w:val="BodyText"/>
      </w:pPr>
    </w:p>
    <w:p w14:paraId="285E0BF0" w14:textId="7F9A7C58" w:rsidR="009E584D" w:rsidRDefault="009E584D" w:rsidP="00245507">
      <w:pPr>
        <w:pStyle w:val="TF"/>
      </w:pPr>
      <w:r w:rsidRPr="009E584D">
        <w:rPr>
          <w:noProof/>
        </w:rPr>
        <w:lastRenderedPageBreak/>
        <w:drawing>
          <wp:inline distT="0" distB="0" distL="0" distR="0" wp14:anchorId="55BF41C8" wp14:editId="3BD1EDBF">
            <wp:extent cx="5324475" cy="399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E683E54" w14:textId="7DC60A0D" w:rsidR="00BA6873" w:rsidRDefault="00BA6873" w:rsidP="00BA6873">
      <w:pPr>
        <w:pStyle w:val="TF"/>
      </w:pPr>
      <w:bookmarkStart w:id="2" w:name="_Ref61530359"/>
      <w:r>
        <w:t xml:space="preserve">Figure </w:t>
      </w:r>
      <w:r>
        <w:fldChar w:fldCharType="begin"/>
      </w:r>
      <w:r>
        <w:instrText xml:space="preserve"> SEQ Figure \* ARABIC </w:instrText>
      </w:r>
      <w:r>
        <w:fldChar w:fldCharType="separate"/>
      </w:r>
      <w:r w:rsidR="00C449C1">
        <w:rPr>
          <w:noProof/>
        </w:rPr>
        <w:t>2</w:t>
      </w:r>
      <w:r>
        <w:fldChar w:fldCharType="end"/>
      </w:r>
      <w:bookmarkEnd w:id="2"/>
      <w:r>
        <w:t xml:space="preserve">: </w:t>
      </w:r>
      <w:r w:rsidR="002C0F29" w:rsidRPr="002C0F29">
        <w:rPr>
          <w:lang w:val="en-US"/>
        </w:rPr>
        <w:t xml:space="preserve">DL </w:t>
      </w:r>
      <w:r w:rsidR="002C0F29">
        <w:rPr>
          <w:lang w:val="en-US"/>
        </w:rPr>
        <w:t>capacity with v</w:t>
      </w:r>
      <w:r>
        <w:t>arying frame size.</w:t>
      </w:r>
    </w:p>
    <w:p w14:paraId="60941E5E" w14:textId="49CFB297" w:rsidR="00BA6873" w:rsidRDefault="00B462CD" w:rsidP="00B462CD">
      <w:pPr>
        <w:pStyle w:val="BodyText"/>
      </w:pPr>
      <w:r>
        <w:t>Despite the fact that there is a variation in size, we see that the capacity is very similar: there is only a small difference for the stricter delay requirement. This would point to that there is little need to introduce a variation in packet size during the investigations.</w:t>
      </w:r>
    </w:p>
    <w:p w14:paraId="7EB45E60" w14:textId="7F847759" w:rsidR="00CD33A0" w:rsidRDefault="00CD33A0" w:rsidP="00CD33A0">
      <w:pPr>
        <w:pStyle w:val="Heading2"/>
      </w:pPr>
      <w:r>
        <w:t>2.2</w:t>
      </w:r>
      <w:r>
        <w:tab/>
      </w:r>
      <w:r w:rsidR="00D06FCC">
        <w:t>UL performance</w:t>
      </w:r>
    </w:p>
    <w:p w14:paraId="17E38014" w14:textId="500D231B" w:rsidR="00324A45" w:rsidRDefault="00324A45" w:rsidP="00324A45">
      <w:pPr>
        <w:rPr>
          <w:lang w:val="en-GB" w:eastAsia="ja-JP"/>
        </w:rPr>
      </w:pPr>
      <w:r>
        <w:rPr>
          <w:lang w:val="en-GB" w:eastAsia="ja-JP"/>
        </w:rPr>
        <w:t>In addition to the DL investigations, we have also looked into UL performance. Here we utilize the agreed simulation assumptions and apply the same traffic model as for the DL. Normal dynamic scheduling is performed, with scheduling request, followed by the transmission of BSR, and subsequent transmission of the UL data. This procedure leads to an increased delay, which degrade performance. Furthermore, since the TDD pattern is DL heavy, we should expect considerably worse performance.</w:t>
      </w:r>
    </w:p>
    <w:p w14:paraId="23089C33" w14:textId="1683B2CC" w:rsidR="002C0F29" w:rsidRDefault="002C0F29" w:rsidP="00324A45">
      <w:pPr>
        <w:rPr>
          <w:lang w:val="en-GB" w:eastAsia="ja-JP"/>
        </w:rPr>
      </w:pPr>
      <w:r>
        <w:rPr>
          <w:lang w:val="en-GB" w:eastAsia="ja-JP"/>
        </w:rPr>
        <w:t xml:space="preserve">The results are depicted in </w:t>
      </w:r>
      <w:r>
        <w:rPr>
          <w:lang w:val="en-GB" w:eastAsia="ja-JP"/>
        </w:rPr>
        <w:fldChar w:fldCharType="begin"/>
      </w:r>
      <w:r>
        <w:rPr>
          <w:lang w:val="en-GB" w:eastAsia="ja-JP"/>
        </w:rPr>
        <w:instrText xml:space="preserve"> REF _Ref61531534 \h </w:instrText>
      </w:r>
      <w:r>
        <w:rPr>
          <w:lang w:val="en-GB" w:eastAsia="ja-JP"/>
        </w:rPr>
      </w:r>
      <w:r>
        <w:rPr>
          <w:lang w:val="en-GB" w:eastAsia="ja-JP"/>
        </w:rPr>
        <w:fldChar w:fldCharType="separate"/>
      </w:r>
      <w:r w:rsidR="00C449C1">
        <w:t xml:space="preserve">Figure </w:t>
      </w:r>
      <w:r w:rsidR="00C449C1">
        <w:rPr>
          <w:noProof/>
        </w:rPr>
        <w:t>3</w:t>
      </w:r>
      <w:r>
        <w:rPr>
          <w:lang w:val="en-GB" w:eastAsia="ja-JP"/>
        </w:rPr>
        <w:fldChar w:fldCharType="end"/>
      </w:r>
      <w:r>
        <w:rPr>
          <w:lang w:val="en-GB" w:eastAsia="ja-JP"/>
        </w:rPr>
        <w:t xml:space="preserve"> for constant frame size</w:t>
      </w:r>
      <w:bookmarkStart w:id="3" w:name="_GoBack"/>
      <w:bookmarkEnd w:id="3"/>
      <w:r>
        <w:rPr>
          <w:lang w:val="en-GB" w:eastAsia="ja-JP"/>
        </w:rPr>
        <w:t>.</w:t>
      </w:r>
    </w:p>
    <w:p w14:paraId="188615A8" w14:textId="66AE486E" w:rsidR="00230337" w:rsidRDefault="00230337" w:rsidP="00324A45">
      <w:pPr>
        <w:rPr>
          <w:lang w:val="en-GB" w:eastAsia="ja-JP"/>
        </w:rPr>
      </w:pPr>
      <w:r w:rsidRPr="00230337">
        <w:rPr>
          <w:noProof/>
          <w:lang w:val="en-GB" w:eastAsia="ja-JP"/>
        </w:rPr>
        <w:lastRenderedPageBreak/>
        <w:drawing>
          <wp:inline distT="0" distB="0" distL="0" distR="0" wp14:anchorId="1EF1D8A2" wp14:editId="316E11D1">
            <wp:extent cx="5324475" cy="399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1263212" w14:textId="12FD4766" w:rsidR="002C0F29" w:rsidRDefault="002C0F29" w:rsidP="002C0F29">
      <w:pPr>
        <w:pStyle w:val="TF"/>
      </w:pPr>
      <w:bookmarkStart w:id="4" w:name="_Ref61531534"/>
      <w:r>
        <w:t xml:space="preserve">Figure </w:t>
      </w:r>
      <w:r>
        <w:fldChar w:fldCharType="begin"/>
      </w:r>
      <w:r>
        <w:instrText xml:space="preserve"> SEQ Figure \* ARABIC </w:instrText>
      </w:r>
      <w:r>
        <w:fldChar w:fldCharType="separate"/>
      </w:r>
      <w:r w:rsidR="00C449C1">
        <w:rPr>
          <w:noProof/>
        </w:rPr>
        <w:t>3</w:t>
      </w:r>
      <w:r>
        <w:fldChar w:fldCharType="end"/>
      </w:r>
      <w:bookmarkEnd w:id="4"/>
      <w:r>
        <w:t xml:space="preserve">: </w:t>
      </w:r>
      <w:r>
        <w:rPr>
          <w:lang w:val="en-US"/>
        </w:rPr>
        <w:t>U</w:t>
      </w:r>
      <w:r w:rsidRPr="002C0F29">
        <w:rPr>
          <w:lang w:val="en-US"/>
        </w:rPr>
        <w:t xml:space="preserve">L </w:t>
      </w:r>
      <w:r>
        <w:rPr>
          <w:lang w:val="en-US"/>
        </w:rPr>
        <w:t>capacity with constant</w:t>
      </w:r>
      <w:r>
        <w:t xml:space="preserve"> frame size.</w:t>
      </w:r>
    </w:p>
    <w:p w14:paraId="4E67DA15" w14:textId="17544264" w:rsidR="002C0F29" w:rsidRDefault="00C47CA4" w:rsidP="00324A45">
      <w:pPr>
        <w:rPr>
          <w:lang w:eastAsia="ja-JP"/>
        </w:rPr>
      </w:pPr>
      <w:r w:rsidRPr="00C47CA4">
        <w:rPr>
          <w:lang w:eastAsia="ja-JP"/>
        </w:rPr>
        <w:t>As can be s</w:t>
      </w:r>
      <w:r>
        <w:rPr>
          <w:lang w:eastAsia="ja-JP"/>
        </w:rPr>
        <w:t xml:space="preserve">een from </w:t>
      </w:r>
      <w:r>
        <w:rPr>
          <w:lang w:eastAsia="ja-JP"/>
        </w:rPr>
        <w:fldChar w:fldCharType="begin"/>
      </w:r>
      <w:r>
        <w:rPr>
          <w:lang w:eastAsia="ja-JP"/>
        </w:rPr>
        <w:instrText xml:space="preserve"> REF _Ref61531534 \h </w:instrText>
      </w:r>
      <w:r>
        <w:rPr>
          <w:lang w:eastAsia="ja-JP"/>
        </w:rPr>
      </w:r>
      <w:r>
        <w:rPr>
          <w:lang w:eastAsia="ja-JP"/>
        </w:rPr>
        <w:fldChar w:fldCharType="separate"/>
      </w:r>
      <w:r w:rsidR="00C449C1">
        <w:t xml:space="preserve">Figure </w:t>
      </w:r>
      <w:r w:rsidR="00C449C1">
        <w:rPr>
          <w:noProof/>
        </w:rPr>
        <w:t>3</w:t>
      </w:r>
      <w:r>
        <w:rPr>
          <w:lang w:eastAsia="ja-JP"/>
        </w:rPr>
        <w:fldChar w:fldCharType="end"/>
      </w:r>
      <w:r>
        <w:rPr>
          <w:lang w:eastAsia="ja-JP"/>
        </w:rPr>
        <w:t xml:space="preserve">, the UL delay performance is significantly worse than the corresponding DL performance. This can be explained by the additional steps that are associated with the UL transmissions: </w:t>
      </w:r>
    </w:p>
    <w:p w14:paraId="4476C1DB" w14:textId="093ADBA3" w:rsidR="00C47CA4" w:rsidRPr="00665B93" w:rsidRDefault="00C47CA4" w:rsidP="00C47CA4">
      <w:pPr>
        <w:pStyle w:val="ListParagraph"/>
        <w:numPr>
          <w:ilvl w:val="0"/>
          <w:numId w:val="25"/>
        </w:numPr>
        <w:rPr>
          <w:rFonts w:ascii="Arial" w:hAnsi="Arial" w:cs="Arial"/>
          <w:sz w:val="20"/>
          <w:szCs w:val="20"/>
          <w:lang w:eastAsia="ja-JP"/>
        </w:rPr>
      </w:pPr>
      <w:r w:rsidRPr="00665B93">
        <w:rPr>
          <w:rFonts w:ascii="Arial" w:hAnsi="Arial" w:cs="Arial"/>
          <w:sz w:val="20"/>
          <w:szCs w:val="20"/>
          <w:lang w:val="en-US" w:eastAsia="ja-JP"/>
        </w:rPr>
        <w:t>Waiting for an SR (scheduling request) transmission opportunity</w:t>
      </w:r>
    </w:p>
    <w:p w14:paraId="6DB441CB" w14:textId="4F71B8A5" w:rsidR="00C47CA4" w:rsidRPr="00665B93" w:rsidRDefault="00C47CA4" w:rsidP="00C47CA4">
      <w:pPr>
        <w:pStyle w:val="ListParagraph"/>
        <w:numPr>
          <w:ilvl w:val="0"/>
          <w:numId w:val="25"/>
        </w:numPr>
        <w:rPr>
          <w:rFonts w:ascii="Arial" w:hAnsi="Arial" w:cs="Arial"/>
          <w:sz w:val="20"/>
          <w:szCs w:val="20"/>
          <w:lang w:eastAsia="ja-JP"/>
        </w:rPr>
      </w:pPr>
      <w:r w:rsidRPr="00665B93">
        <w:rPr>
          <w:rFonts w:ascii="Arial" w:hAnsi="Arial" w:cs="Arial"/>
          <w:sz w:val="20"/>
          <w:szCs w:val="20"/>
          <w:lang w:val="sv-SE" w:eastAsia="ja-JP"/>
        </w:rPr>
        <w:t>Transmitting an SR</w:t>
      </w:r>
    </w:p>
    <w:p w14:paraId="58C56449" w14:textId="41C3F093" w:rsidR="00C47CA4" w:rsidRPr="00665B93" w:rsidRDefault="00C47CA4" w:rsidP="00C47CA4">
      <w:pPr>
        <w:pStyle w:val="ListParagraph"/>
        <w:numPr>
          <w:ilvl w:val="0"/>
          <w:numId w:val="25"/>
        </w:numPr>
        <w:rPr>
          <w:rFonts w:ascii="Arial" w:hAnsi="Arial" w:cs="Arial"/>
          <w:sz w:val="20"/>
          <w:szCs w:val="20"/>
          <w:lang w:eastAsia="ja-JP"/>
        </w:rPr>
      </w:pPr>
      <w:r w:rsidRPr="00665B93">
        <w:rPr>
          <w:rFonts w:ascii="Arial" w:hAnsi="Arial" w:cs="Arial"/>
          <w:sz w:val="20"/>
          <w:szCs w:val="20"/>
          <w:lang w:val="en-US" w:eastAsia="ja-JP"/>
        </w:rPr>
        <w:t>Waiting for an initial (small) grant</w:t>
      </w:r>
    </w:p>
    <w:p w14:paraId="14F10AF3" w14:textId="77B367E2" w:rsidR="00C47CA4" w:rsidRPr="00665B93" w:rsidRDefault="00C47CA4" w:rsidP="00C47CA4">
      <w:pPr>
        <w:pStyle w:val="ListParagraph"/>
        <w:numPr>
          <w:ilvl w:val="0"/>
          <w:numId w:val="25"/>
        </w:numPr>
        <w:rPr>
          <w:rFonts w:ascii="Arial" w:hAnsi="Arial" w:cs="Arial"/>
          <w:sz w:val="20"/>
          <w:szCs w:val="20"/>
          <w:lang w:eastAsia="ja-JP"/>
        </w:rPr>
      </w:pPr>
      <w:r w:rsidRPr="00665B93">
        <w:rPr>
          <w:rFonts w:ascii="Arial" w:hAnsi="Arial" w:cs="Arial"/>
          <w:sz w:val="20"/>
          <w:szCs w:val="20"/>
          <w:lang w:val="en-US" w:eastAsia="ja-JP"/>
        </w:rPr>
        <w:t>Transmitting the initial data, including a buffer status report (BSR)</w:t>
      </w:r>
    </w:p>
    <w:p w14:paraId="6D0D4C55" w14:textId="77777777" w:rsidR="00C47CA4" w:rsidRPr="00665B93" w:rsidRDefault="00C47CA4" w:rsidP="00C47CA4">
      <w:pPr>
        <w:pStyle w:val="ListParagraph"/>
        <w:numPr>
          <w:ilvl w:val="0"/>
          <w:numId w:val="25"/>
        </w:numPr>
        <w:rPr>
          <w:rFonts w:ascii="Arial" w:hAnsi="Arial" w:cs="Arial"/>
          <w:sz w:val="20"/>
          <w:szCs w:val="20"/>
          <w:lang w:eastAsia="ja-JP"/>
        </w:rPr>
      </w:pPr>
      <w:r w:rsidRPr="00665B93">
        <w:rPr>
          <w:rFonts w:ascii="Arial" w:hAnsi="Arial" w:cs="Arial"/>
          <w:sz w:val="20"/>
          <w:szCs w:val="20"/>
          <w:lang w:val="en-US" w:eastAsia="ja-JP"/>
        </w:rPr>
        <w:t>Transmitting the remaining data</w:t>
      </w:r>
    </w:p>
    <w:p w14:paraId="0EAB87A8" w14:textId="6182C8A3" w:rsidR="00665B93" w:rsidRDefault="00E344A2" w:rsidP="00C47CA4">
      <w:pPr>
        <w:rPr>
          <w:lang w:eastAsia="ja-JP"/>
        </w:rPr>
      </w:pPr>
      <w:r>
        <w:rPr>
          <w:lang w:eastAsia="ja-JP"/>
        </w:rPr>
        <w:t xml:space="preserve">We realize that the time waiting for an SR opportunity is uniformly distributed between 0 and 2.5ms, the time to wait for an initial grant is 2.5ms, and the time to wait for a full grant is 2.5ms. </w:t>
      </w:r>
      <w:r w:rsidR="00C449C1">
        <w:rPr>
          <w:lang w:eastAsia="ja-JP"/>
        </w:rPr>
        <w:t>Providing a very short delay for the UL transmissions become challenging.</w:t>
      </w:r>
    </w:p>
    <w:p w14:paraId="7157F62B" w14:textId="75A94AFF" w:rsidR="00C449C1" w:rsidRDefault="00C449C1" w:rsidP="00C47CA4">
      <w:pPr>
        <w:rPr>
          <w:lang w:eastAsia="ja-JP"/>
        </w:rPr>
      </w:pPr>
      <w:r>
        <w:rPr>
          <w:lang w:eastAsia="ja-JP"/>
        </w:rPr>
        <w:t xml:space="preserve">It could be argued that we could rely on features such as configured grant to push down the delay of the UL transmissions. However, such static resource reservation is inefficient, especially in combination with jitter and variations in frame sizes. </w:t>
      </w:r>
    </w:p>
    <w:p w14:paraId="71D79D99" w14:textId="77777777" w:rsidR="00F507D1" w:rsidRPr="00CE0424" w:rsidRDefault="00F507D1" w:rsidP="00CE0424">
      <w:pPr>
        <w:pStyle w:val="Heading1"/>
      </w:pPr>
      <w:bookmarkStart w:id="5" w:name="_In-sequence_SDU_delivery"/>
      <w:bookmarkEnd w:id="5"/>
      <w:r w:rsidRPr="00CE0424">
        <w:t>References</w:t>
      </w:r>
    </w:p>
    <w:p w14:paraId="0B572F67" w14:textId="573B55E5" w:rsidR="005F27B9" w:rsidRDefault="005F27B9" w:rsidP="00311702">
      <w:pPr>
        <w:pStyle w:val="Reference"/>
      </w:pPr>
      <w:bookmarkStart w:id="6" w:name="_Ref54269807"/>
      <w:bookmarkStart w:id="7" w:name="_Ref174151459"/>
      <w:bookmarkStart w:id="8" w:name="_Ref189809556"/>
      <w:r w:rsidRPr="005F27B9">
        <w:t>RP-193241</w:t>
      </w:r>
      <w:r>
        <w:t xml:space="preserve">, </w:t>
      </w:r>
      <w:r w:rsidRPr="005F27B9">
        <w:t>Study on XR Evaluations for NR</w:t>
      </w:r>
      <w:r>
        <w:t>, Qualcomm, RAN#86, Sitges, December 2019</w:t>
      </w:r>
      <w:bookmarkEnd w:id="6"/>
      <w:r w:rsidR="00C37E77">
        <w:t>.</w:t>
      </w:r>
    </w:p>
    <w:p w14:paraId="1A5B0900" w14:textId="7756A09D" w:rsidR="004E68BA" w:rsidRDefault="004E68BA" w:rsidP="00311702">
      <w:pPr>
        <w:pStyle w:val="Reference"/>
      </w:pPr>
      <w:bookmarkStart w:id="9" w:name="_Ref54354251"/>
      <w:r>
        <w:t>R1-2</w:t>
      </w:r>
      <w:r w:rsidR="00D06FCC">
        <w:t>1</w:t>
      </w:r>
      <w:r w:rsidR="00C449C1">
        <w:t>01314</w:t>
      </w:r>
      <w:r>
        <w:t>,</w:t>
      </w:r>
      <w:r w:rsidR="00513D31" w:rsidRPr="00513D31">
        <w:t xml:space="preserve"> </w:t>
      </w:r>
      <w:r w:rsidR="00C449C1">
        <w:t xml:space="preserve">Traffic model for </w:t>
      </w:r>
      <w:r w:rsidR="00513D31" w:rsidRPr="00C449C1">
        <w:t>XR</w:t>
      </w:r>
      <w:r w:rsidRPr="00C449C1">
        <w:t>,</w:t>
      </w:r>
      <w:r>
        <w:t xml:space="preserve"> Ericsson, RAN1#10</w:t>
      </w:r>
      <w:r w:rsidR="00D06FCC">
        <w:t>4</w:t>
      </w:r>
      <w:r>
        <w:t xml:space="preserve">-e, </w:t>
      </w:r>
      <w:bookmarkEnd w:id="9"/>
      <w:r w:rsidR="00D06FCC">
        <w:t>January 2021</w:t>
      </w:r>
      <w:r>
        <w:t xml:space="preserve"> </w:t>
      </w:r>
    </w:p>
    <w:p w14:paraId="515C9913" w14:textId="1062316F" w:rsidR="00C449C1" w:rsidRDefault="00C449C1" w:rsidP="00C449C1">
      <w:pPr>
        <w:pStyle w:val="Reference"/>
      </w:pPr>
      <w:bookmarkStart w:id="10" w:name="_Ref61871885"/>
      <w:r>
        <w:t>R1-210131</w:t>
      </w:r>
      <w:r>
        <w:t>5</w:t>
      </w:r>
      <w:r>
        <w:t>,</w:t>
      </w:r>
      <w:r w:rsidRPr="00513D31">
        <w:t xml:space="preserve"> </w:t>
      </w:r>
      <w:r>
        <w:t>Evaluation methodology</w:t>
      </w:r>
      <w:r>
        <w:t xml:space="preserve"> model for </w:t>
      </w:r>
      <w:r w:rsidRPr="00C449C1">
        <w:t>XR,</w:t>
      </w:r>
      <w:r>
        <w:t xml:space="preserve"> Ericsson, RAN1#104-e, January 2021</w:t>
      </w:r>
      <w:bookmarkEnd w:id="10"/>
      <w:r>
        <w:t xml:space="preserve"> </w:t>
      </w:r>
    </w:p>
    <w:bookmarkEnd w:id="7"/>
    <w:bookmarkEnd w:id="8"/>
    <w:p w14:paraId="49009E5E" w14:textId="1F2AE4BD" w:rsidR="00DB1F21" w:rsidRDefault="00DB1F21" w:rsidP="00DB1F21">
      <w:pPr>
        <w:pStyle w:val="Heading1"/>
      </w:pPr>
      <w:r>
        <w:t>Appendix</w:t>
      </w:r>
    </w:p>
    <w:tbl>
      <w:tblPr>
        <w:tblStyle w:val="TableGrid1"/>
        <w:tblW w:w="9805" w:type="dxa"/>
        <w:tblLook w:val="04A0" w:firstRow="1" w:lastRow="0" w:firstColumn="1" w:lastColumn="0" w:noHBand="0" w:noVBand="1"/>
      </w:tblPr>
      <w:tblGrid>
        <w:gridCol w:w="2605"/>
        <w:gridCol w:w="7200"/>
      </w:tblGrid>
      <w:tr w:rsidR="00D259A5" w:rsidRPr="005D045E" w14:paraId="751B4AD6" w14:textId="77777777" w:rsidTr="00F47544">
        <w:tc>
          <w:tcPr>
            <w:tcW w:w="2605" w:type="dxa"/>
            <w:shd w:val="clear" w:color="auto" w:fill="D5DCE4" w:themeFill="text2" w:themeFillTint="33"/>
          </w:tcPr>
          <w:p w14:paraId="00FB6512" w14:textId="77777777" w:rsidR="00D259A5" w:rsidRPr="005D045E" w:rsidRDefault="00D259A5" w:rsidP="00F47544">
            <w:pPr>
              <w:snapToGrid w:val="0"/>
              <w:spacing w:after="0" w:line="240" w:lineRule="auto"/>
              <w:rPr>
                <w:rFonts w:ascii="Times New Roman" w:eastAsia="Malgun Gothic" w:hAnsi="Times New Roman" w:cs="Times New Roman"/>
                <w:b/>
                <w:sz w:val="18"/>
                <w:szCs w:val="20"/>
                <w:lang w:eastAsia="ko-KR"/>
              </w:rPr>
            </w:pPr>
            <w:r w:rsidRPr="005D045E">
              <w:rPr>
                <w:rFonts w:ascii="Times New Roman" w:eastAsia="Malgun Gothic" w:hAnsi="Times New Roman" w:cs="Times New Roman"/>
                <w:b/>
                <w:sz w:val="18"/>
                <w:szCs w:val="20"/>
                <w:lang w:eastAsia="ko-KR"/>
              </w:rPr>
              <w:t>Parameters</w:t>
            </w:r>
          </w:p>
        </w:tc>
        <w:tc>
          <w:tcPr>
            <w:tcW w:w="7200" w:type="dxa"/>
            <w:shd w:val="clear" w:color="auto" w:fill="D5DCE4" w:themeFill="text2" w:themeFillTint="33"/>
          </w:tcPr>
          <w:p w14:paraId="476126D3" w14:textId="77777777" w:rsidR="00D259A5" w:rsidRPr="005D045E" w:rsidRDefault="00D259A5" w:rsidP="00F47544">
            <w:pPr>
              <w:snapToGrid w:val="0"/>
              <w:spacing w:after="0" w:line="240" w:lineRule="auto"/>
              <w:rPr>
                <w:rFonts w:ascii="Times New Roman" w:eastAsia="Malgun Gothic" w:hAnsi="Times New Roman" w:cs="Times New Roman"/>
                <w:b/>
                <w:sz w:val="18"/>
                <w:szCs w:val="20"/>
                <w:lang w:eastAsia="ko-KR"/>
              </w:rPr>
            </w:pPr>
            <w:r w:rsidRPr="005D045E">
              <w:rPr>
                <w:rFonts w:ascii="Times New Roman" w:eastAsia="Malgun Gothic" w:hAnsi="Times New Roman" w:cs="Times New Roman"/>
                <w:b/>
                <w:sz w:val="18"/>
                <w:szCs w:val="20"/>
                <w:lang w:eastAsia="ko-KR"/>
              </w:rPr>
              <w:t>Values</w:t>
            </w:r>
          </w:p>
        </w:tc>
      </w:tr>
      <w:tr w:rsidR="00D259A5" w:rsidRPr="005D045E" w14:paraId="180460F7" w14:textId="77777777" w:rsidTr="00F47544">
        <w:trPr>
          <w:trHeight w:val="377"/>
        </w:trPr>
        <w:tc>
          <w:tcPr>
            <w:tcW w:w="2605" w:type="dxa"/>
          </w:tcPr>
          <w:p w14:paraId="3312E569"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Frequency Range</w:t>
            </w:r>
          </w:p>
        </w:tc>
        <w:tc>
          <w:tcPr>
            <w:tcW w:w="7200" w:type="dxa"/>
          </w:tcPr>
          <w:p w14:paraId="76F7B5BF" w14:textId="09E89A41" w:rsidR="00D259A5" w:rsidRPr="005D045E" w:rsidRDefault="00D259A5" w:rsidP="00F47544">
            <w:pPr>
              <w:snapToGrid w:val="0"/>
              <w:spacing w:after="0" w:line="240" w:lineRule="auto"/>
              <w:rPr>
                <w:rFonts w:ascii="Times New Roman" w:eastAsia="SimSun" w:hAnsi="Times New Roman" w:cs="Times New Roman"/>
                <w:sz w:val="18"/>
                <w:szCs w:val="20"/>
              </w:rPr>
            </w:pPr>
            <w:r w:rsidRPr="005D045E">
              <w:rPr>
                <w:rFonts w:ascii="Times New Roman" w:eastAsia="Malgun Gothic" w:hAnsi="Times New Roman" w:cs="Times New Roman"/>
                <w:sz w:val="18"/>
                <w:szCs w:val="20"/>
                <w:lang w:eastAsia="ko-KR"/>
              </w:rPr>
              <w:t>FR</w:t>
            </w:r>
            <w:r>
              <w:rPr>
                <w:rFonts w:ascii="Times New Roman" w:eastAsia="Malgun Gothic" w:hAnsi="Times New Roman" w:cs="Times New Roman"/>
                <w:sz w:val="18"/>
                <w:szCs w:val="20"/>
                <w:lang w:eastAsia="ko-KR"/>
              </w:rPr>
              <w:t>1</w:t>
            </w:r>
            <w:r w:rsidRPr="005D045E">
              <w:rPr>
                <w:rFonts w:ascii="Times New Roman" w:eastAsia="Malgun Gothic" w:hAnsi="Times New Roman" w:cs="Times New Roman"/>
                <w:sz w:val="18"/>
                <w:szCs w:val="20"/>
                <w:lang w:eastAsia="ko-KR"/>
              </w:rPr>
              <w:t xml:space="preserve"> @ </w:t>
            </w:r>
            <w:r>
              <w:rPr>
                <w:rFonts w:ascii="Times New Roman" w:eastAsia="Malgun Gothic" w:hAnsi="Times New Roman" w:cs="Times New Roman"/>
                <w:sz w:val="18"/>
                <w:szCs w:val="20"/>
                <w:lang w:eastAsia="ko-KR"/>
              </w:rPr>
              <w:t>4</w:t>
            </w:r>
            <w:r w:rsidRPr="005D045E">
              <w:rPr>
                <w:rFonts w:ascii="Times New Roman" w:eastAsia="Malgun Gothic" w:hAnsi="Times New Roman" w:cs="Times New Roman"/>
                <w:sz w:val="18"/>
                <w:szCs w:val="20"/>
                <w:lang w:eastAsia="ko-KR"/>
              </w:rPr>
              <w:t xml:space="preserve"> GHz,</w:t>
            </w:r>
            <w:r w:rsidRPr="00E8275D">
              <w:rPr>
                <w:rFonts w:ascii="Times New Roman" w:eastAsia="Malgun Gothic" w:hAnsi="Times New Roman" w:cs="Times New Roman"/>
                <w:sz w:val="18"/>
                <w:szCs w:val="20"/>
                <w:lang w:eastAsia="ko-KR"/>
              </w:rPr>
              <w:t xml:space="preserve"> </w:t>
            </w:r>
            <w:r w:rsidRPr="005D045E">
              <w:rPr>
                <w:rFonts w:ascii="Times New Roman" w:eastAsia="SimSun" w:hAnsi="Times New Roman" w:cs="Times New Roman"/>
                <w:sz w:val="18"/>
                <w:szCs w:val="20"/>
              </w:rPr>
              <w:t xml:space="preserve">SCS: </w:t>
            </w:r>
            <w:r>
              <w:rPr>
                <w:rFonts w:ascii="Times New Roman" w:eastAsia="SimSun" w:hAnsi="Times New Roman" w:cs="Times New Roman"/>
                <w:sz w:val="18"/>
                <w:szCs w:val="20"/>
              </w:rPr>
              <w:t>3</w:t>
            </w:r>
            <w:r w:rsidRPr="005D045E">
              <w:rPr>
                <w:rFonts w:ascii="Times New Roman" w:eastAsia="SimSun" w:hAnsi="Times New Roman" w:cs="Times New Roman"/>
                <w:sz w:val="18"/>
                <w:szCs w:val="20"/>
              </w:rPr>
              <w:t>0 kHz</w:t>
            </w:r>
            <w:r w:rsidRPr="00E8275D">
              <w:rPr>
                <w:rFonts w:ascii="Times New Roman" w:eastAsia="SimSun" w:hAnsi="Times New Roman" w:cs="Times New Roman"/>
                <w:sz w:val="18"/>
                <w:szCs w:val="20"/>
              </w:rPr>
              <w:t xml:space="preserve">, </w:t>
            </w:r>
            <w:r w:rsidRPr="005D045E">
              <w:rPr>
                <w:rFonts w:ascii="Times New Roman" w:eastAsia="SimSun" w:hAnsi="Times New Roman" w:cs="Times New Roman"/>
                <w:sz w:val="18"/>
                <w:szCs w:val="20"/>
              </w:rPr>
              <w:t xml:space="preserve">BW: </w:t>
            </w:r>
            <w:r>
              <w:rPr>
                <w:rFonts w:ascii="Times New Roman" w:eastAsia="SimSun" w:hAnsi="Times New Roman" w:cs="Times New Roman"/>
                <w:sz w:val="18"/>
                <w:szCs w:val="20"/>
              </w:rPr>
              <w:t>10</w:t>
            </w:r>
            <w:r w:rsidRPr="005D045E">
              <w:rPr>
                <w:rFonts w:ascii="Times New Roman" w:eastAsia="SimSun" w:hAnsi="Times New Roman" w:cs="Times New Roman"/>
                <w:sz w:val="18"/>
                <w:szCs w:val="20"/>
              </w:rPr>
              <w:t>0 MHz</w:t>
            </w:r>
          </w:p>
        </w:tc>
      </w:tr>
      <w:tr w:rsidR="00D259A5" w:rsidRPr="005D045E" w14:paraId="033447EA" w14:textId="77777777" w:rsidTr="00F47544">
        <w:tc>
          <w:tcPr>
            <w:tcW w:w="2605" w:type="dxa"/>
          </w:tcPr>
          <w:p w14:paraId="7B08B1E1"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lastRenderedPageBreak/>
              <w:t>BS Antenna Configuration</w:t>
            </w:r>
          </w:p>
        </w:tc>
        <w:tc>
          <w:tcPr>
            <w:tcW w:w="7200" w:type="dxa"/>
          </w:tcPr>
          <w:p w14:paraId="179CEFE3" w14:textId="33B1DB1D" w:rsidR="00D259A5" w:rsidRPr="009677E5" w:rsidRDefault="00D259A5" w:rsidP="00F47544">
            <w:pPr>
              <w:snapToGrid w:val="0"/>
              <w:spacing w:after="0" w:line="240" w:lineRule="auto"/>
              <w:rPr>
                <w:rFonts w:ascii="Times New Roman" w:eastAsia="Malgun Gothic" w:hAnsi="Times New Roman" w:cs="Times New Roman"/>
                <w:sz w:val="18"/>
                <w:szCs w:val="20"/>
                <w:lang w:val="sv-SE" w:eastAsia="ko-KR"/>
              </w:rPr>
            </w:pPr>
            <w:r w:rsidRPr="00D259A5">
              <w:rPr>
                <w:rFonts w:ascii="Times New Roman" w:eastAsia="Malgun Gothic" w:hAnsi="Times New Roman" w:cs="Times New Roman"/>
                <w:sz w:val="18"/>
                <w:szCs w:val="20"/>
                <w:lang w:val="sv-SE" w:eastAsia="ko-KR"/>
              </w:rPr>
              <w:t>(M, N, P, M</w:t>
            </w:r>
            <w:r w:rsidRPr="00D259A5">
              <w:rPr>
                <w:rFonts w:ascii="Times New Roman" w:eastAsia="Malgun Gothic" w:hAnsi="Times New Roman" w:cs="Times New Roman"/>
                <w:sz w:val="18"/>
                <w:szCs w:val="20"/>
                <w:vertAlign w:val="subscript"/>
                <w:lang w:val="sv-SE" w:eastAsia="ko-KR"/>
              </w:rPr>
              <w:t>g</w:t>
            </w:r>
            <w:r w:rsidRPr="00D259A5">
              <w:rPr>
                <w:rFonts w:ascii="Times New Roman" w:eastAsia="Malgun Gothic" w:hAnsi="Times New Roman" w:cs="Times New Roman"/>
                <w:sz w:val="18"/>
                <w:szCs w:val="20"/>
                <w:lang w:val="sv-SE" w:eastAsia="ko-KR"/>
              </w:rPr>
              <w:t>, N</w:t>
            </w:r>
            <w:r w:rsidRPr="00D259A5">
              <w:rPr>
                <w:rFonts w:ascii="Times New Roman" w:eastAsia="Malgun Gothic" w:hAnsi="Times New Roman" w:cs="Times New Roman"/>
                <w:sz w:val="18"/>
                <w:szCs w:val="20"/>
                <w:vertAlign w:val="subscript"/>
                <w:lang w:val="sv-SE" w:eastAsia="ko-KR"/>
              </w:rPr>
              <w:t>g</w:t>
            </w:r>
            <w:r w:rsidRPr="00D259A5">
              <w:rPr>
                <w:rFonts w:ascii="Times New Roman" w:eastAsia="Malgun Gothic" w:hAnsi="Times New Roman" w:cs="Times New Roman"/>
                <w:sz w:val="18"/>
                <w:szCs w:val="20"/>
                <w:lang w:val="sv-SE" w:eastAsia="ko-KR"/>
              </w:rPr>
              <w:t xml:space="preserve">) = (2, 8, 2, 1, 1). </w:t>
            </w:r>
            <w:r w:rsidRPr="009677E5">
              <w:rPr>
                <w:rFonts w:ascii="Times New Roman" w:eastAsia="Malgun Gothic" w:hAnsi="Times New Roman" w:cs="Times New Roman"/>
                <w:sz w:val="18"/>
                <w:szCs w:val="20"/>
                <w:lang w:val="sv-SE" w:eastAsia="ko-KR"/>
              </w:rPr>
              <w:t>(d</w:t>
            </w:r>
            <w:r w:rsidRPr="009677E5">
              <w:rPr>
                <w:rFonts w:ascii="Times New Roman" w:eastAsia="Malgun Gothic" w:hAnsi="Times New Roman" w:cs="Times New Roman"/>
                <w:sz w:val="18"/>
                <w:szCs w:val="20"/>
                <w:vertAlign w:val="subscript"/>
                <w:lang w:val="sv-SE" w:eastAsia="ko-KR"/>
              </w:rPr>
              <w:t>V</w:t>
            </w:r>
            <w:r w:rsidRPr="009677E5">
              <w:rPr>
                <w:rFonts w:ascii="Times New Roman" w:eastAsia="Malgun Gothic" w:hAnsi="Times New Roman" w:cs="Times New Roman"/>
                <w:sz w:val="18"/>
                <w:szCs w:val="20"/>
                <w:lang w:val="sv-SE" w:eastAsia="ko-KR"/>
              </w:rPr>
              <w:t>, d</w:t>
            </w:r>
            <w:r w:rsidRPr="009677E5">
              <w:rPr>
                <w:rFonts w:ascii="Times New Roman" w:eastAsia="Malgun Gothic" w:hAnsi="Times New Roman" w:cs="Times New Roman"/>
                <w:sz w:val="18"/>
                <w:szCs w:val="20"/>
                <w:vertAlign w:val="subscript"/>
                <w:lang w:val="sv-SE" w:eastAsia="ko-KR"/>
              </w:rPr>
              <w:t>H</w:t>
            </w:r>
            <w:r w:rsidRPr="009677E5">
              <w:rPr>
                <w:rFonts w:ascii="Times New Roman" w:eastAsia="Malgun Gothic" w:hAnsi="Times New Roman" w:cs="Times New Roman"/>
                <w:sz w:val="18"/>
                <w:szCs w:val="20"/>
                <w:lang w:val="sv-SE" w:eastAsia="ko-KR"/>
              </w:rPr>
              <w:t>) = (0.</w:t>
            </w:r>
            <w:r w:rsidR="00D06FCC">
              <w:rPr>
                <w:rFonts w:ascii="Times New Roman" w:eastAsia="Malgun Gothic" w:hAnsi="Times New Roman" w:cs="Times New Roman"/>
                <w:sz w:val="18"/>
                <w:szCs w:val="20"/>
                <w:lang w:val="sv-SE" w:eastAsia="ko-KR"/>
              </w:rPr>
              <w:t>5</w:t>
            </w:r>
            <w:r w:rsidRPr="009677E5">
              <w:rPr>
                <w:rFonts w:ascii="Times New Roman" w:eastAsia="Malgun Gothic" w:hAnsi="Times New Roman" w:cs="Times New Roman"/>
                <w:sz w:val="18"/>
                <w:szCs w:val="20"/>
                <w:lang w:val="sv-SE" w:eastAsia="ko-KR"/>
              </w:rPr>
              <w:t xml:space="preserve">, 0.5) </w:t>
            </w:r>
            <w:r w:rsidRPr="005D045E">
              <w:rPr>
                <w:rFonts w:ascii="Times New Roman" w:eastAsia="Malgun Gothic" w:hAnsi="Times New Roman" w:cs="Times New Roman"/>
                <w:sz w:val="18"/>
                <w:szCs w:val="20"/>
                <w:lang w:val="en-GB" w:eastAsia="ko-KR"/>
              </w:rPr>
              <w:t>λ</w:t>
            </w:r>
            <w:r w:rsidRPr="009677E5">
              <w:rPr>
                <w:rFonts w:ascii="Times New Roman" w:eastAsia="Malgun Gothic" w:hAnsi="Times New Roman" w:cs="Times New Roman"/>
                <w:sz w:val="18"/>
                <w:szCs w:val="20"/>
                <w:lang w:val="sv-SE" w:eastAsia="ko-KR"/>
              </w:rPr>
              <w:t xml:space="preserve">. </w:t>
            </w:r>
          </w:p>
          <w:p w14:paraId="14866744" w14:textId="7A8394DB"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E8275D">
              <w:rPr>
                <w:rFonts w:ascii="Times New Roman" w:eastAsia="Malgun Gothic" w:hAnsi="Times New Roman" w:cs="Times New Roman"/>
                <w:sz w:val="18"/>
                <w:szCs w:val="20"/>
                <w:lang w:eastAsia="ko-KR"/>
              </w:rPr>
              <w:t>gNB Antenna has physical down-tilt of 1</w:t>
            </w:r>
            <w:r>
              <w:rPr>
                <w:rFonts w:ascii="Times New Roman" w:eastAsia="Malgun Gothic" w:hAnsi="Times New Roman" w:cs="Times New Roman"/>
                <w:sz w:val="18"/>
                <w:szCs w:val="20"/>
                <w:lang w:eastAsia="ko-KR"/>
              </w:rPr>
              <w:t>4</w:t>
            </w:r>
            <w:r w:rsidRPr="00E8275D">
              <w:rPr>
                <w:rFonts w:ascii="Times New Roman" w:eastAsia="Malgun Gothic" w:hAnsi="Times New Roman" w:cs="Times New Roman"/>
                <w:sz w:val="18"/>
                <w:szCs w:val="20"/>
                <w:lang w:eastAsia="ko-KR"/>
              </w:rPr>
              <w:t xml:space="preserve"> degrees </w:t>
            </w:r>
          </w:p>
        </w:tc>
      </w:tr>
      <w:tr w:rsidR="007012A5" w:rsidRPr="005D045E" w14:paraId="0875BF06" w14:textId="77777777" w:rsidTr="00F47544">
        <w:tc>
          <w:tcPr>
            <w:tcW w:w="2605" w:type="dxa"/>
          </w:tcPr>
          <w:p w14:paraId="4D72ED36" w14:textId="18BDF8AE" w:rsidR="007012A5" w:rsidRPr="005D045E"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Duplex method</w:t>
            </w:r>
          </w:p>
        </w:tc>
        <w:tc>
          <w:tcPr>
            <w:tcW w:w="7200" w:type="dxa"/>
          </w:tcPr>
          <w:p w14:paraId="4D0308CF" w14:textId="3674511A" w:rsidR="007012A5" w:rsidRPr="00D259A5" w:rsidRDefault="007012A5" w:rsidP="00F47544">
            <w:pPr>
              <w:snapToGrid w:val="0"/>
              <w:spacing w:after="0" w:line="240" w:lineRule="auto"/>
              <w:rPr>
                <w:rFonts w:ascii="Times New Roman" w:eastAsia="Malgun Gothic" w:hAnsi="Times New Roman" w:cs="Times New Roman"/>
                <w:sz w:val="18"/>
                <w:szCs w:val="20"/>
                <w:lang w:val="sv-SE" w:eastAsia="ko-KR"/>
              </w:rPr>
            </w:pPr>
            <w:r>
              <w:rPr>
                <w:rFonts w:ascii="Times New Roman" w:eastAsia="Malgun Gothic" w:hAnsi="Times New Roman" w:cs="Times New Roman"/>
                <w:sz w:val="18"/>
                <w:szCs w:val="20"/>
                <w:lang w:val="sv-SE" w:eastAsia="ko-KR"/>
              </w:rPr>
              <w:t xml:space="preserve">TDD </w:t>
            </w:r>
            <w:r w:rsidR="00227C07" w:rsidRPr="00227C07">
              <w:rPr>
                <w:rFonts w:ascii="Times New Roman" w:eastAsia="Malgun Gothic" w:hAnsi="Times New Roman" w:cs="Times New Roman"/>
                <w:sz w:val="18"/>
                <w:szCs w:val="20"/>
                <w:lang w:val="sv-SE" w:eastAsia="ko-KR"/>
              </w:rPr>
              <w:t>DDDSU</w:t>
            </w:r>
          </w:p>
        </w:tc>
      </w:tr>
      <w:tr w:rsidR="00D259A5" w:rsidRPr="005D045E" w14:paraId="56323626" w14:textId="77777777" w:rsidTr="00F47544">
        <w:tc>
          <w:tcPr>
            <w:tcW w:w="2605" w:type="dxa"/>
          </w:tcPr>
          <w:p w14:paraId="07B795EE"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UE Antenna Configuration</w:t>
            </w:r>
          </w:p>
        </w:tc>
        <w:tc>
          <w:tcPr>
            <w:tcW w:w="7200" w:type="dxa"/>
          </w:tcPr>
          <w:p w14:paraId="001C3BE3" w14:textId="574FC44B"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 xml:space="preserve">(M, N, P) = (1, </w:t>
            </w:r>
            <w:r w:rsidR="007012A5">
              <w:rPr>
                <w:rFonts w:ascii="Times New Roman" w:eastAsia="Malgun Gothic" w:hAnsi="Times New Roman" w:cs="Times New Roman"/>
                <w:sz w:val="18"/>
                <w:szCs w:val="20"/>
                <w:lang w:eastAsia="ko-KR"/>
              </w:rPr>
              <w:t>2</w:t>
            </w:r>
            <w:r w:rsidRPr="005D045E">
              <w:rPr>
                <w:rFonts w:ascii="Times New Roman" w:eastAsia="Malgun Gothic" w:hAnsi="Times New Roman" w:cs="Times New Roman"/>
                <w:sz w:val="18"/>
                <w:szCs w:val="20"/>
                <w:lang w:eastAsia="ko-KR"/>
              </w:rPr>
              <w:t>, 2),</w:t>
            </w:r>
            <w:r w:rsidR="007012A5">
              <w:rPr>
                <w:rFonts w:ascii="Times New Roman" w:eastAsia="Malgun Gothic" w:hAnsi="Times New Roman" w:cs="Times New Roman"/>
                <w:sz w:val="18"/>
                <w:szCs w:val="20"/>
                <w:lang w:eastAsia="ko-KR"/>
              </w:rPr>
              <w:t xml:space="preserve"> </w:t>
            </w:r>
          </w:p>
        </w:tc>
      </w:tr>
      <w:tr w:rsidR="00D259A5" w:rsidRPr="005D045E" w14:paraId="37E2C6A4" w14:textId="77777777" w:rsidTr="00F47544">
        <w:tc>
          <w:tcPr>
            <w:tcW w:w="2605" w:type="dxa"/>
          </w:tcPr>
          <w:p w14:paraId="5F5442F8"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Link adaptation</w:t>
            </w:r>
          </w:p>
        </w:tc>
        <w:tc>
          <w:tcPr>
            <w:tcW w:w="7200" w:type="dxa"/>
          </w:tcPr>
          <w:p w14:paraId="3E9A134A" w14:textId="693D53DF"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Outer loop adaptation</w:t>
            </w:r>
            <w:r w:rsidRPr="00E8275D">
              <w:rPr>
                <w:rFonts w:ascii="Times New Roman" w:eastAsia="Malgun Gothic" w:hAnsi="Times New Roman" w:cs="Times New Roman"/>
                <w:sz w:val="18"/>
                <w:szCs w:val="20"/>
                <w:lang w:eastAsia="ko-KR"/>
              </w:rPr>
              <w:t xml:space="preserve"> </w:t>
            </w:r>
            <w:r>
              <w:rPr>
                <w:rFonts w:ascii="Times New Roman" w:eastAsia="Malgun Gothic" w:hAnsi="Times New Roman" w:cs="Times New Roman"/>
                <w:sz w:val="18"/>
                <w:szCs w:val="20"/>
                <w:lang w:eastAsia="ko-KR"/>
              </w:rPr>
              <w:t xml:space="preserve">+ </w:t>
            </w:r>
            <w:r w:rsidR="007012A5">
              <w:rPr>
                <w:rFonts w:ascii="Times New Roman" w:eastAsia="Malgun Gothic" w:hAnsi="Times New Roman" w:cs="Times New Roman"/>
                <w:sz w:val="18"/>
                <w:szCs w:val="20"/>
                <w:lang w:eastAsia="ko-KR"/>
              </w:rPr>
              <w:t>32-port CSI-RS Type I codebook</w:t>
            </w:r>
          </w:p>
        </w:tc>
      </w:tr>
      <w:tr w:rsidR="00D259A5" w:rsidRPr="005D045E" w14:paraId="50E24618" w14:textId="77777777" w:rsidTr="00F47544">
        <w:tc>
          <w:tcPr>
            <w:tcW w:w="2605" w:type="dxa"/>
            <w:shd w:val="clear" w:color="auto" w:fill="auto"/>
            <w:vAlign w:val="center"/>
          </w:tcPr>
          <w:p w14:paraId="49B20B9A"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color w:val="000000"/>
                <w:kern w:val="24"/>
                <w:sz w:val="18"/>
                <w:szCs w:val="20"/>
                <w:lang w:val="en-GB" w:eastAsia="ko-KR"/>
              </w:rPr>
              <w:t>Control and RS overhead</w:t>
            </w:r>
          </w:p>
        </w:tc>
        <w:tc>
          <w:tcPr>
            <w:tcW w:w="7200" w:type="dxa"/>
            <w:shd w:val="clear" w:color="auto" w:fill="auto"/>
            <w:vAlign w:val="center"/>
          </w:tcPr>
          <w:p w14:paraId="4E73F09B" w14:textId="24E6EDDE" w:rsidR="00D259A5" w:rsidRPr="005D045E"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Explicit modelling of control and RS overhead</w:t>
            </w:r>
          </w:p>
        </w:tc>
      </w:tr>
      <w:tr w:rsidR="00D259A5" w:rsidRPr="005D045E" w14:paraId="78E8659C" w14:textId="77777777" w:rsidTr="00F47544">
        <w:tc>
          <w:tcPr>
            <w:tcW w:w="2605" w:type="dxa"/>
            <w:shd w:val="clear" w:color="auto" w:fill="auto"/>
            <w:vAlign w:val="center"/>
          </w:tcPr>
          <w:p w14:paraId="13A7F41E"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color w:val="000000"/>
                <w:kern w:val="24"/>
                <w:sz w:val="18"/>
                <w:szCs w:val="20"/>
                <w:lang w:val="en-GB" w:eastAsia="ko-KR"/>
              </w:rPr>
              <w:t>Transmission scheme</w:t>
            </w:r>
          </w:p>
        </w:tc>
        <w:tc>
          <w:tcPr>
            <w:tcW w:w="7200" w:type="dxa"/>
            <w:shd w:val="clear" w:color="auto" w:fill="auto"/>
            <w:vAlign w:val="center"/>
          </w:tcPr>
          <w:p w14:paraId="2D4CDDDE" w14:textId="31E1DBD8" w:rsidR="00D259A5" w:rsidRPr="005D045E"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kern w:val="24"/>
                <w:sz w:val="18"/>
                <w:szCs w:val="20"/>
                <w:lang w:val="en-GB" w:eastAsia="ko-KR"/>
              </w:rPr>
              <w:t>U</w:t>
            </w:r>
            <w:r w:rsidR="00D259A5" w:rsidRPr="00E8275D">
              <w:rPr>
                <w:rFonts w:ascii="Times New Roman" w:eastAsia="Malgun Gothic" w:hAnsi="Times New Roman" w:cs="Times New Roman"/>
                <w:kern w:val="24"/>
                <w:sz w:val="18"/>
                <w:szCs w:val="20"/>
                <w:lang w:val="en-GB" w:eastAsia="ko-KR"/>
              </w:rPr>
              <w:t xml:space="preserve">p to rank </w:t>
            </w:r>
            <w:r>
              <w:rPr>
                <w:rFonts w:ascii="Times New Roman" w:eastAsia="Malgun Gothic" w:hAnsi="Times New Roman" w:cs="Times New Roman"/>
                <w:kern w:val="24"/>
                <w:sz w:val="18"/>
                <w:szCs w:val="20"/>
                <w:lang w:val="en-GB" w:eastAsia="ko-KR"/>
              </w:rPr>
              <w:t>4</w:t>
            </w:r>
            <w:r w:rsidR="00D259A5">
              <w:rPr>
                <w:rFonts w:ascii="Times New Roman" w:eastAsia="Malgun Gothic" w:hAnsi="Times New Roman" w:cs="Times New Roman"/>
                <w:kern w:val="24"/>
                <w:sz w:val="18"/>
                <w:szCs w:val="20"/>
                <w:lang w:val="en-GB" w:eastAsia="ko-KR"/>
              </w:rPr>
              <w:t xml:space="preserve"> transmission</w:t>
            </w:r>
          </w:p>
        </w:tc>
      </w:tr>
      <w:tr w:rsidR="00D259A5" w:rsidRPr="005D045E" w14:paraId="71C52A9D" w14:textId="77777777" w:rsidTr="00F47544">
        <w:tc>
          <w:tcPr>
            <w:tcW w:w="2605" w:type="dxa"/>
          </w:tcPr>
          <w:p w14:paraId="230EE8F5"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Other potential impairments</w:t>
            </w:r>
          </w:p>
        </w:tc>
        <w:tc>
          <w:tcPr>
            <w:tcW w:w="7200" w:type="dxa"/>
          </w:tcPr>
          <w:p w14:paraId="0E0BB255"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Not modelled (assumed ideal)</w:t>
            </w:r>
          </w:p>
        </w:tc>
      </w:tr>
      <w:tr w:rsidR="00D259A5" w:rsidRPr="005D045E" w14:paraId="5451B33F" w14:textId="77777777" w:rsidTr="00F47544">
        <w:tc>
          <w:tcPr>
            <w:tcW w:w="2605" w:type="dxa"/>
          </w:tcPr>
          <w:p w14:paraId="3400AAAB"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Target BLER</w:t>
            </w:r>
          </w:p>
        </w:tc>
        <w:tc>
          <w:tcPr>
            <w:tcW w:w="7200" w:type="dxa"/>
          </w:tcPr>
          <w:p w14:paraId="18A02FAD" w14:textId="259BE30E"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 xml:space="preserve">10% </w:t>
            </w:r>
          </w:p>
        </w:tc>
      </w:tr>
      <w:tr w:rsidR="00D259A5" w:rsidRPr="005D045E" w14:paraId="7DFB4404" w14:textId="77777777" w:rsidTr="00F47544">
        <w:tc>
          <w:tcPr>
            <w:tcW w:w="2605" w:type="dxa"/>
          </w:tcPr>
          <w:p w14:paraId="5D5668F4"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Scenario</w:t>
            </w:r>
          </w:p>
        </w:tc>
        <w:tc>
          <w:tcPr>
            <w:tcW w:w="7200" w:type="dxa"/>
          </w:tcPr>
          <w:p w14:paraId="57053626" w14:textId="3D29980B" w:rsidR="00D259A5" w:rsidRPr="00AF32E0" w:rsidRDefault="00D259A5" w:rsidP="00F47544">
            <w:pPr>
              <w:snapToGrid w:val="0"/>
              <w:spacing w:line="240" w:lineRule="auto"/>
              <w:rPr>
                <w:rFonts w:ascii="Times New Roman" w:eastAsia="Malgun Gothic" w:hAnsi="Times New Roman" w:cs="Times New Roman"/>
                <w:sz w:val="18"/>
                <w:szCs w:val="20"/>
                <w:lang w:val="x-none" w:eastAsia="ko-KR"/>
              </w:rPr>
            </w:pPr>
            <w:r w:rsidRPr="00AF32E0">
              <w:rPr>
                <w:rFonts w:ascii="Times New Roman" w:hAnsi="Times New Roman" w:cs="Times New Roman"/>
                <w:sz w:val="18"/>
                <w:szCs w:val="18"/>
              </w:rPr>
              <w:t>Dense Urban (macro-layer only, TR 38.913</w:t>
            </w:r>
            <w:r>
              <w:rPr>
                <w:rFonts w:ascii="Times New Roman" w:hAnsi="Times New Roman" w:cs="Times New Roman"/>
                <w:sz w:val="18"/>
                <w:szCs w:val="18"/>
              </w:rPr>
              <w:t>)</w:t>
            </w:r>
            <w:r w:rsidRPr="00AF32E0">
              <w:rPr>
                <w:rFonts w:ascii="Times New Roman" w:hAnsi="Times New Roman" w:cs="Times New Roman"/>
                <w:sz w:val="18"/>
                <w:szCs w:val="18"/>
              </w:rPr>
              <w:t xml:space="preserve">, 200m ISD, 2-tier model with wrap-around (7 sites, 3 sectors/cells per site), </w:t>
            </w:r>
            <w:r w:rsidR="00D06FCC">
              <w:rPr>
                <w:rFonts w:ascii="Times New Roman" w:hAnsi="Times New Roman" w:cs="Times New Roman"/>
                <w:sz w:val="18"/>
                <w:szCs w:val="18"/>
              </w:rPr>
              <w:t>2</w:t>
            </w:r>
            <w:r w:rsidRPr="00AF32E0">
              <w:rPr>
                <w:rFonts w:ascii="Times New Roman" w:hAnsi="Times New Roman" w:cs="Times New Roman"/>
                <w:sz w:val="18"/>
                <w:szCs w:val="18"/>
              </w:rPr>
              <w:t>0% outdoor</w:t>
            </w:r>
            <w:r>
              <w:rPr>
                <w:rFonts w:ascii="Times New Roman" w:hAnsi="Times New Roman" w:cs="Times New Roman"/>
                <w:sz w:val="18"/>
                <w:szCs w:val="18"/>
              </w:rPr>
              <w:t xml:space="preserve"> </w:t>
            </w:r>
          </w:p>
        </w:tc>
      </w:tr>
      <w:tr w:rsidR="00D259A5" w:rsidRPr="005D045E" w14:paraId="37D14E3B" w14:textId="77777777" w:rsidTr="00F47544">
        <w:tc>
          <w:tcPr>
            <w:tcW w:w="2605" w:type="dxa"/>
          </w:tcPr>
          <w:p w14:paraId="2B6D4318" w14:textId="77777777" w:rsidR="00D259A5"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Channel model</w:t>
            </w:r>
          </w:p>
        </w:tc>
        <w:tc>
          <w:tcPr>
            <w:tcW w:w="7200" w:type="dxa"/>
          </w:tcPr>
          <w:p w14:paraId="00F7A714" w14:textId="16FC5809" w:rsidR="00D259A5" w:rsidRPr="00AF32E0" w:rsidRDefault="00D259A5"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UMa 5G (TR 38.901), outdoor</w:t>
            </w:r>
          </w:p>
        </w:tc>
      </w:tr>
      <w:tr w:rsidR="007012A5" w:rsidRPr="005D045E" w14:paraId="6C36085A" w14:textId="77777777" w:rsidTr="00F47544">
        <w:tc>
          <w:tcPr>
            <w:tcW w:w="2605" w:type="dxa"/>
          </w:tcPr>
          <w:p w14:paraId="794AEBFD" w14:textId="2031FAB5" w:rsidR="007012A5"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BS Tx power</w:t>
            </w:r>
          </w:p>
        </w:tc>
        <w:tc>
          <w:tcPr>
            <w:tcW w:w="7200" w:type="dxa"/>
          </w:tcPr>
          <w:p w14:paraId="4A4C4D15" w14:textId="6BCC7DCE" w:rsidR="007012A5" w:rsidRDefault="002C0F29"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51dBm</w:t>
            </w:r>
          </w:p>
        </w:tc>
      </w:tr>
      <w:tr w:rsidR="007012A5" w:rsidRPr="005D045E" w14:paraId="093AE868" w14:textId="77777777" w:rsidTr="00F47544">
        <w:tc>
          <w:tcPr>
            <w:tcW w:w="2605" w:type="dxa"/>
          </w:tcPr>
          <w:p w14:paraId="672161FE" w14:textId="0C4A3DF1" w:rsidR="007012A5"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BS receiver noise figure</w:t>
            </w:r>
          </w:p>
        </w:tc>
        <w:tc>
          <w:tcPr>
            <w:tcW w:w="7200" w:type="dxa"/>
          </w:tcPr>
          <w:p w14:paraId="06B92E89" w14:textId="30CACF0E" w:rsidR="007012A5" w:rsidRDefault="007012A5"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5dB</w:t>
            </w:r>
          </w:p>
        </w:tc>
      </w:tr>
      <w:tr w:rsidR="007012A5" w:rsidRPr="005D045E" w14:paraId="0331BCC6" w14:textId="77777777" w:rsidTr="00F47544">
        <w:tc>
          <w:tcPr>
            <w:tcW w:w="2605" w:type="dxa"/>
          </w:tcPr>
          <w:p w14:paraId="4B9F754F" w14:textId="4B27F657" w:rsidR="007012A5"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UE receiver noise figure</w:t>
            </w:r>
          </w:p>
        </w:tc>
        <w:tc>
          <w:tcPr>
            <w:tcW w:w="7200" w:type="dxa"/>
          </w:tcPr>
          <w:p w14:paraId="3F643AD4" w14:textId="454CF422" w:rsidR="007012A5" w:rsidRDefault="007012A5"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9dB</w:t>
            </w:r>
          </w:p>
        </w:tc>
      </w:tr>
      <w:tr w:rsidR="0050511F" w:rsidRPr="005D045E" w14:paraId="337B466D" w14:textId="77777777" w:rsidTr="00F47544">
        <w:tc>
          <w:tcPr>
            <w:tcW w:w="2605" w:type="dxa"/>
          </w:tcPr>
          <w:p w14:paraId="6B03F574" w14:textId="47C4695D" w:rsidR="0050511F" w:rsidRDefault="0050511F"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UE distribution</w:t>
            </w:r>
          </w:p>
        </w:tc>
        <w:tc>
          <w:tcPr>
            <w:tcW w:w="7200" w:type="dxa"/>
          </w:tcPr>
          <w:p w14:paraId="11EC5B67" w14:textId="1E90AD0D" w:rsidR="0050511F" w:rsidRDefault="0050511F"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Randomly over the system</w:t>
            </w:r>
          </w:p>
        </w:tc>
      </w:tr>
      <w:tr w:rsidR="00ED1999" w:rsidRPr="005D045E" w14:paraId="202EC670" w14:textId="77777777" w:rsidTr="00F47544">
        <w:tc>
          <w:tcPr>
            <w:tcW w:w="2605" w:type="dxa"/>
          </w:tcPr>
          <w:p w14:paraId="44A9456C" w14:textId="175E9D82" w:rsidR="00ED1999" w:rsidRDefault="00ED1999"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UE receiver</w:t>
            </w:r>
          </w:p>
        </w:tc>
        <w:tc>
          <w:tcPr>
            <w:tcW w:w="7200" w:type="dxa"/>
          </w:tcPr>
          <w:p w14:paraId="2CD91CB3" w14:textId="6B8DDB2B" w:rsidR="00ED1999" w:rsidRDefault="00ED1999"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MMSE-IRC</w:t>
            </w:r>
          </w:p>
        </w:tc>
      </w:tr>
      <w:tr w:rsidR="00ED1999" w:rsidRPr="005D045E" w14:paraId="77B0CAB5" w14:textId="77777777" w:rsidTr="00F47544">
        <w:tc>
          <w:tcPr>
            <w:tcW w:w="2605" w:type="dxa"/>
          </w:tcPr>
          <w:p w14:paraId="11C8E9B3" w14:textId="25C087CE" w:rsidR="00ED1999" w:rsidRDefault="00ED1999"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CSI feedback</w:t>
            </w:r>
          </w:p>
        </w:tc>
        <w:tc>
          <w:tcPr>
            <w:tcW w:w="7200" w:type="dxa"/>
          </w:tcPr>
          <w:p w14:paraId="63BA2881" w14:textId="239979AA" w:rsidR="00ED1999" w:rsidRDefault="00ED1999"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Realistic, including CSI quantization</w:t>
            </w:r>
          </w:p>
        </w:tc>
      </w:tr>
    </w:tbl>
    <w:p w14:paraId="4B95EE4B" w14:textId="77777777" w:rsidR="00D259A5" w:rsidRPr="00D259A5" w:rsidRDefault="00D259A5" w:rsidP="00D259A5">
      <w:pPr>
        <w:rPr>
          <w:lang w:val="en-GB" w:eastAsia="ja-JP"/>
        </w:rPr>
      </w:pPr>
    </w:p>
    <w:p w14:paraId="680CC9D6" w14:textId="77777777" w:rsidR="00DB1F21" w:rsidRPr="00DB1F21" w:rsidRDefault="00DB1F21" w:rsidP="00DB1F21">
      <w:pPr>
        <w:rPr>
          <w:lang w:val="en-GB" w:eastAsia="ja-JP"/>
        </w:rPr>
      </w:pPr>
    </w:p>
    <w:p w14:paraId="715CA09B"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5BF81" w14:textId="77777777" w:rsidR="007A44B6" w:rsidRDefault="007A44B6">
      <w:r>
        <w:separator/>
      </w:r>
    </w:p>
  </w:endnote>
  <w:endnote w:type="continuationSeparator" w:id="0">
    <w:p w14:paraId="5B7DC5E2" w14:textId="77777777" w:rsidR="007A44B6" w:rsidRDefault="007A44B6">
      <w:r>
        <w:continuationSeparator/>
      </w:r>
    </w:p>
  </w:endnote>
  <w:endnote w:type="continuationNotice" w:id="1">
    <w:p w14:paraId="192C4C54" w14:textId="77777777" w:rsidR="003450D2" w:rsidRDefault="00345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37A23" w14:textId="77777777" w:rsidR="007A44B6" w:rsidRDefault="007A44B6">
      <w:r>
        <w:separator/>
      </w:r>
    </w:p>
  </w:footnote>
  <w:footnote w:type="continuationSeparator" w:id="0">
    <w:p w14:paraId="4DFCDA6D" w14:textId="77777777" w:rsidR="007A44B6" w:rsidRDefault="007A44B6">
      <w:r>
        <w:continuationSeparator/>
      </w:r>
    </w:p>
  </w:footnote>
  <w:footnote w:type="continuationNotice" w:id="1">
    <w:p w14:paraId="4216A745" w14:textId="77777777" w:rsidR="003450D2" w:rsidRDefault="003450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FE2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6272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7"/>
  </w:num>
  <w:num w:numId="24">
    <w:abstractNumId w:val="22"/>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268"/>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4C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BB8"/>
    <w:rsid w:val="001E7AED"/>
    <w:rsid w:val="001F3916"/>
    <w:rsid w:val="001F54C5"/>
    <w:rsid w:val="001F662C"/>
    <w:rsid w:val="001F7074"/>
    <w:rsid w:val="00200490"/>
    <w:rsid w:val="00201F3A"/>
    <w:rsid w:val="00203F96"/>
    <w:rsid w:val="002069B2"/>
    <w:rsid w:val="00207FA3"/>
    <w:rsid w:val="002109A3"/>
    <w:rsid w:val="00214DA8"/>
    <w:rsid w:val="00215423"/>
    <w:rsid w:val="002158FA"/>
    <w:rsid w:val="00220600"/>
    <w:rsid w:val="0022183C"/>
    <w:rsid w:val="002224DB"/>
    <w:rsid w:val="00223FCB"/>
    <w:rsid w:val="002252C3"/>
    <w:rsid w:val="00225C54"/>
    <w:rsid w:val="00227C07"/>
    <w:rsid w:val="00230337"/>
    <w:rsid w:val="00230765"/>
    <w:rsid w:val="00230D18"/>
    <w:rsid w:val="002319E4"/>
    <w:rsid w:val="00235632"/>
    <w:rsid w:val="00235872"/>
    <w:rsid w:val="00241559"/>
    <w:rsid w:val="002435B3"/>
    <w:rsid w:val="00245507"/>
    <w:rsid w:val="002458EB"/>
    <w:rsid w:val="002500C8"/>
    <w:rsid w:val="00257543"/>
    <w:rsid w:val="002617E7"/>
    <w:rsid w:val="00264228"/>
    <w:rsid w:val="00264334"/>
    <w:rsid w:val="00264643"/>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DCF"/>
    <w:rsid w:val="002B24D6"/>
    <w:rsid w:val="002C0F29"/>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A45"/>
    <w:rsid w:val="00324D23"/>
    <w:rsid w:val="00331751"/>
    <w:rsid w:val="00334579"/>
    <w:rsid w:val="00335858"/>
    <w:rsid w:val="00336BDA"/>
    <w:rsid w:val="00342BD7"/>
    <w:rsid w:val="003450D2"/>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3CA"/>
    <w:rsid w:val="00470C31"/>
    <w:rsid w:val="00471DE0"/>
    <w:rsid w:val="004734D0"/>
    <w:rsid w:val="0047556B"/>
    <w:rsid w:val="00477768"/>
    <w:rsid w:val="00483FF9"/>
    <w:rsid w:val="00492BC5"/>
    <w:rsid w:val="004964F1"/>
    <w:rsid w:val="004A16BC"/>
    <w:rsid w:val="004A2B94"/>
    <w:rsid w:val="004B6F6A"/>
    <w:rsid w:val="004B7C0C"/>
    <w:rsid w:val="004C3898"/>
    <w:rsid w:val="004D36B1"/>
    <w:rsid w:val="004D7EBD"/>
    <w:rsid w:val="004E2680"/>
    <w:rsid w:val="004E28F9"/>
    <w:rsid w:val="004E462E"/>
    <w:rsid w:val="004E56DC"/>
    <w:rsid w:val="004E68BA"/>
    <w:rsid w:val="004E76F4"/>
    <w:rsid w:val="004F0B4E"/>
    <w:rsid w:val="004F0B6C"/>
    <w:rsid w:val="004F2078"/>
    <w:rsid w:val="004F3A54"/>
    <w:rsid w:val="004F4DA3"/>
    <w:rsid w:val="0050511F"/>
    <w:rsid w:val="00506557"/>
    <w:rsid w:val="0050677A"/>
    <w:rsid w:val="005108D8"/>
    <w:rsid w:val="005116F9"/>
    <w:rsid w:val="00513D31"/>
    <w:rsid w:val="005153A7"/>
    <w:rsid w:val="005219CF"/>
    <w:rsid w:val="00534B59"/>
    <w:rsid w:val="00536759"/>
    <w:rsid w:val="00537C62"/>
    <w:rsid w:val="00540155"/>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7B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1C64"/>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B93"/>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2"/>
    <w:rsid w:val="006A697B"/>
    <w:rsid w:val="006A7AFF"/>
    <w:rsid w:val="006B1816"/>
    <w:rsid w:val="006B2099"/>
    <w:rsid w:val="006B50CF"/>
    <w:rsid w:val="006C03B8"/>
    <w:rsid w:val="006C5EC9"/>
    <w:rsid w:val="006C6059"/>
    <w:rsid w:val="006C7522"/>
    <w:rsid w:val="006D350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2A5"/>
    <w:rsid w:val="0070346E"/>
    <w:rsid w:val="00704EDB"/>
    <w:rsid w:val="0070539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243D"/>
    <w:rsid w:val="007B3D2D"/>
    <w:rsid w:val="007B50AE"/>
    <w:rsid w:val="007B51DF"/>
    <w:rsid w:val="007C05DD"/>
    <w:rsid w:val="007C3D18"/>
    <w:rsid w:val="007C60BF"/>
    <w:rsid w:val="007C6A07"/>
    <w:rsid w:val="007C75A1"/>
    <w:rsid w:val="007C77A5"/>
    <w:rsid w:val="007D04E5"/>
    <w:rsid w:val="007D5467"/>
    <w:rsid w:val="007D5901"/>
    <w:rsid w:val="007D7526"/>
    <w:rsid w:val="007E4610"/>
    <w:rsid w:val="007E4715"/>
    <w:rsid w:val="007E505B"/>
    <w:rsid w:val="007E7091"/>
    <w:rsid w:val="007F6831"/>
    <w:rsid w:val="00803FAE"/>
    <w:rsid w:val="00804048"/>
    <w:rsid w:val="0080605F"/>
    <w:rsid w:val="00807786"/>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2D8"/>
    <w:rsid w:val="008A21FF"/>
    <w:rsid w:val="008A2CE2"/>
    <w:rsid w:val="008A30AC"/>
    <w:rsid w:val="008A44B8"/>
    <w:rsid w:val="008A51A8"/>
    <w:rsid w:val="008A54C7"/>
    <w:rsid w:val="008A77D8"/>
    <w:rsid w:val="008B0483"/>
    <w:rsid w:val="008B120C"/>
    <w:rsid w:val="008B2285"/>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617"/>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20A"/>
    <w:rsid w:val="00945C05"/>
    <w:rsid w:val="00946945"/>
    <w:rsid w:val="00947713"/>
    <w:rsid w:val="00950DE7"/>
    <w:rsid w:val="00953920"/>
    <w:rsid w:val="00953D47"/>
    <w:rsid w:val="0095681E"/>
    <w:rsid w:val="009572D4"/>
    <w:rsid w:val="00961921"/>
    <w:rsid w:val="0096430A"/>
    <w:rsid w:val="0096554B"/>
    <w:rsid w:val="0096584A"/>
    <w:rsid w:val="009677E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001"/>
    <w:rsid w:val="009C403E"/>
    <w:rsid w:val="009D4FF0"/>
    <w:rsid w:val="009D703C"/>
    <w:rsid w:val="009D718F"/>
    <w:rsid w:val="009E068F"/>
    <w:rsid w:val="009E14E0"/>
    <w:rsid w:val="009E35DB"/>
    <w:rsid w:val="009E3A5D"/>
    <w:rsid w:val="009E47A3"/>
    <w:rsid w:val="009E584D"/>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6A8"/>
    <w:rsid w:val="00AC007F"/>
    <w:rsid w:val="00AC2ECD"/>
    <w:rsid w:val="00AC3119"/>
    <w:rsid w:val="00AC49FB"/>
    <w:rsid w:val="00AC5A10"/>
    <w:rsid w:val="00AD0AA3"/>
    <w:rsid w:val="00AD2ED0"/>
    <w:rsid w:val="00AD3F94"/>
    <w:rsid w:val="00AD4A5A"/>
    <w:rsid w:val="00AE27AC"/>
    <w:rsid w:val="00AE40E0"/>
    <w:rsid w:val="00AE4DBA"/>
    <w:rsid w:val="00AE4F07"/>
    <w:rsid w:val="00AE5032"/>
    <w:rsid w:val="00AF1C5D"/>
    <w:rsid w:val="00AF42D7"/>
    <w:rsid w:val="00B006FE"/>
    <w:rsid w:val="00B007CB"/>
    <w:rsid w:val="00B02AA9"/>
    <w:rsid w:val="00B02FA3"/>
    <w:rsid w:val="00B05084"/>
    <w:rsid w:val="00B157F9"/>
    <w:rsid w:val="00B15B19"/>
    <w:rsid w:val="00B15EE2"/>
    <w:rsid w:val="00B20256"/>
    <w:rsid w:val="00B20D09"/>
    <w:rsid w:val="00B2763F"/>
    <w:rsid w:val="00B27AAC"/>
    <w:rsid w:val="00B30929"/>
    <w:rsid w:val="00B372AA"/>
    <w:rsid w:val="00B40445"/>
    <w:rsid w:val="00B409E0"/>
    <w:rsid w:val="00B41888"/>
    <w:rsid w:val="00B45A52"/>
    <w:rsid w:val="00B46175"/>
    <w:rsid w:val="00B462CD"/>
    <w:rsid w:val="00B548B7"/>
    <w:rsid w:val="00B664C7"/>
    <w:rsid w:val="00B713D8"/>
    <w:rsid w:val="00B739F6"/>
    <w:rsid w:val="00B81A6C"/>
    <w:rsid w:val="00B85DE5"/>
    <w:rsid w:val="00B90F73"/>
    <w:rsid w:val="00B93B59"/>
    <w:rsid w:val="00B9406A"/>
    <w:rsid w:val="00BA0A3E"/>
    <w:rsid w:val="00BA2280"/>
    <w:rsid w:val="00BA2A08"/>
    <w:rsid w:val="00BA56D2"/>
    <w:rsid w:val="00BA6873"/>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4C"/>
    <w:rsid w:val="00C279B5"/>
    <w:rsid w:val="00C27C45"/>
    <w:rsid w:val="00C3719D"/>
    <w:rsid w:val="00C37CB2"/>
    <w:rsid w:val="00C37E77"/>
    <w:rsid w:val="00C449C1"/>
    <w:rsid w:val="00C473A5"/>
    <w:rsid w:val="00C47CA4"/>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A75"/>
    <w:rsid w:val="00CB7170"/>
    <w:rsid w:val="00CC040E"/>
    <w:rsid w:val="00CC111F"/>
    <w:rsid w:val="00CC2011"/>
    <w:rsid w:val="00CC3EA0"/>
    <w:rsid w:val="00CC7B45"/>
    <w:rsid w:val="00CD1188"/>
    <w:rsid w:val="00CD2ED1"/>
    <w:rsid w:val="00CD337B"/>
    <w:rsid w:val="00CD33A0"/>
    <w:rsid w:val="00CE0424"/>
    <w:rsid w:val="00CE7561"/>
    <w:rsid w:val="00CF1354"/>
    <w:rsid w:val="00CF3B1F"/>
    <w:rsid w:val="00CF3BF6"/>
    <w:rsid w:val="00CF625B"/>
    <w:rsid w:val="00CF687E"/>
    <w:rsid w:val="00D0349B"/>
    <w:rsid w:val="00D06FCC"/>
    <w:rsid w:val="00D10249"/>
    <w:rsid w:val="00D115C3"/>
    <w:rsid w:val="00D11897"/>
    <w:rsid w:val="00D13135"/>
    <w:rsid w:val="00D13E4E"/>
    <w:rsid w:val="00D239A7"/>
    <w:rsid w:val="00D23F47"/>
    <w:rsid w:val="00D259A5"/>
    <w:rsid w:val="00D36E71"/>
    <w:rsid w:val="00D37D87"/>
    <w:rsid w:val="00D40B33"/>
    <w:rsid w:val="00D4318F"/>
    <w:rsid w:val="00D438BF"/>
    <w:rsid w:val="00D440F8"/>
    <w:rsid w:val="00D5283B"/>
    <w:rsid w:val="00D546FF"/>
    <w:rsid w:val="00D55AD5"/>
    <w:rsid w:val="00D576CA"/>
    <w:rsid w:val="00D61AF5"/>
    <w:rsid w:val="00D652B5"/>
    <w:rsid w:val="00D66155"/>
    <w:rsid w:val="00D708B0"/>
    <w:rsid w:val="00D766A7"/>
    <w:rsid w:val="00D77B1D"/>
    <w:rsid w:val="00D8021F"/>
    <w:rsid w:val="00D80383"/>
    <w:rsid w:val="00D823C6"/>
    <w:rsid w:val="00D8327F"/>
    <w:rsid w:val="00D86CA3"/>
    <w:rsid w:val="00D871CE"/>
    <w:rsid w:val="00D9196D"/>
    <w:rsid w:val="00D92982"/>
    <w:rsid w:val="00DA305E"/>
    <w:rsid w:val="00DA5417"/>
    <w:rsid w:val="00DA56E8"/>
    <w:rsid w:val="00DB0A9F"/>
    <w:rsid w:val="00DB1F21"/>
    <w:rsid w:val="00DB377D"/>
    <w:rsid w:val="00DC2D36"/>
    <w:rsid w:val="00DC53EF"/>
    <w:rsid w:val="00DE5608"/>
    <w:rsid w:val="00DE58D0"/>
    <w:rsid w:val="00DE654F"/>
    <w:rsid w:val="00DF0B6E"/>
    <w:rsid w:val="00DF15E0"/>
    <w:rsid w:val="00DF37A0"/>
    <w:rsid w:val="00E110E7"/>
    <w:rsid w:val="00E11B20"/>
    <w:rsid w:val="00E17FA2"/>
    <w:rsid w:val="00E22330"/>
    <w:rsid w:val="00E275A4"/>
    <w:rsid w:val="00E30B5A"/>
    <w:rsid w:val="00E3123D"/>
    <w:rsid w:val="00E31461"/>
    <w:rsid w:val="00E31D43"/>
    <w:rsid w:val="00E32608"/>
    <w:rsid w:val="00E34188"/>
    <w:rsid w:val="00E344A2"/>
    <w:rsid w:val="00E34B6E"/>
    <w:rsid w:val="00E35559"/>
    <w:rsid w:val="00E3723A"/>
    <w:rsid w:val="00E37860"/>
    <w:rsid w:val="00E40BB4"/>
    <w:rsid w:val="00E446F1"/>
    <w:rsid w:val="00E46886"/>
    <w:rsid w:val="00E47AEF"/>
    <w:rsid w:val="00E53B75"/>
    <w:rsid w:val="00E54E3B"/>
    <w:rsid w:val="00E57565"/>
    <w:rsid w:val="00E60B8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199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294"/>
    <w:rsid w:val="00F93AA9"/>
    <w:rsid w:val="00F96985"/>
    <w:rsid w:val="00F97838"/>
    <w:rsid w:val="00FA2BB3"/>
    <w:rsid w:val="00FB237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schemas.microsoft.com/office/2006/metadata/properties"/>
    <ds:schemaRef ds:uri="http://www.w3.org/XML/1998/namespace"/>
    <ds:schemaRef ds:uri="9b239327-9e80-40e4-b1b7-4394fed77a33"/>
    <ds:schemaRef ds:uri="http://schemas.microsoft.com/office/2006/documentManagement/types"/>
    <ds:schemaRef ds:uri="http://purl.org/dc/elements/1.1/"/>
    <ds:schemaRef ds:uri="2f282d3b-eb4a-4b09-b61f-b9593442e286"/>
    <ds:schemaRef ds:uri="http://purl.org/dc/terms/"/>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5626DF25-947F-45E7-8BCE-B65A53EA2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5</Pages>
  <Words>1201</Words>
  <Characters>6358</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33</cp:revision>
  <cp:lastPrinted>2008-01-31T07:09:00Z</cp:lastPrinted>
  <dcterms:created xsi:type="dcterms:W3CDTF">2020-10-15T15:03:00Z</dcterms:created>
  <dcterms:modified xsi:type="dcterms:W3CDTF">2021-01-18T13:18:00Z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